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3BDCEF65">
      <w:pPr>
        <w:ind w:firstLine="261" w:firstLineChars="50"/>
        <w:jc w:val="center"/>
        <w:rPr>
          <w:rFonts w:hint="default" w:ascii="宋体"/>
          <w:b/>
          <w:sz w:val="48"/>
          <w:szCs w:val="48"/>
          <w:lang w:val="en-US" w:eastAsia="zh-CN"/>
        </w:rPr>
      </w:pPr>
      <w:r>
        <w:rPr>
          <w:rFonts w:hint="eastAsia" w:ascii="宋体" w:hAnsi="宋体"/>
          <w:b/>
          <w:sz w:val="52"/>
          <w:lang w:val="en-US" w:eastAsia="zh-CN"/>
        </w:rPr>
        <w:t>2025年度</w:t>
      </w:r>
      <w:r>
        <w:rPr>
          <w:rFonts w:hint="eastAsia" w:ascii="宋体"/>
          <w:b/>
          <w:sz w:val="48"/>
          <w:szCs w:val="48"/>
          <w:lang w:eastAsia="zh-CN"/>
        </w:rPr>
        <w:t>低压</w:t>
      </w:r>
      <w:r>
        <w:rPr>
          <w:rFonts w:hint="eastAsia" w:ascii="宋体"/>
          <w:b/>
          <w:sz w:val="48"/>
          <w:szCs w:val="48"/>
          <w:lang w:val="en-US" w:eastAsia="zh-CN"/>
        </w:rPr>
        <w:t>互感器</w:t>
      </w:r>
    </w:p>
    <w:p w14:paraId="6DB77608">
      <w:pPr>
        <w:spacing w:line="360" w:lineRule="auto"/>
        <w:ind w:firstLine="261" w:firstLineChars="50"/>
        <w:jc w:val="center"/>
        <w:rPr>
          <w:rFonts w:hint="eastAsia" w:ascii="宋体" w:hAnsi="宋体"/>
          <w:b/>
          <w:sz w:val="48"/>
          <w:szCs w:val="48"/>
          <w:u w:val="single"/>
        </w:rPr>
      </w:pPr>
      <w:r>
        <w:rPr>
          <w:rFonts w:hint="eastAsia" w:ascii="宋体" w:hAnsi="宋体"/>
          <w:b/>
          <w:sz w:val="52"/>
        </w:rPr>
        <w:t>物资采购项目</w:t>
      </w:r>
      <w:bookmarkStart w:id="26" w:name="_GoBack"/>
      <w:bookmarkEnd w:id="26"/>
    </w:p>
    <w:p w14:paraId="415A10A7">
      <w:pPr>
        <w:spacing w:line="360" w:lineRule="auto"/>
        <w:jc w:val="center"/>
        <w:rPr>
          <w:rFonts w:ascii="宋体"/>
          <w:b/>
          <w:sz w:val="48"/>
          <w:szCs w:val="48"/>
        </w:rPr>
      </w:pPr>
    </w:p>
    <w:p w14:paraId="6DA49308">
      <w:pPr>
        <w:spacing w:line="360" w:lineRule="auto"/>
        <w:jc w:val="center"/>
        <w:rPr>
          <w:rFonts w:hint="eastAsia" w:ascii="宋体" w:hAnsi="宋体"/>
          <w:b/>
          <w:sz w:val="48"/>
          <w:szCs w:val="48"/>
        </w:rPr>
      </w:pPr>
    </w:p>
    <w:p w14:paraId="3987836C">
      <w:pPr>
        <w:spacing w:line="360" w:lineRule="auto"/>
        <w:jc w:val="center"/>
        <w:rPr>
          <w:rFonts w:ascii="宋体"/>
          <w:b/>
          <w:sz w:val="48"/>
          <w:szCs w:val="48"/>
        </w:rPr>
      </w:pPr>
      <w:r>
        <w:rPr>
          <w:rFonts w:hint="eastAsia" w:ascii="宋体"/>
          <w:b/>
          <w:sz w:val="48"/>
          <w:szCs w:val="48"/>
        </w:rPr>
        <w:t>技</w:t>
      </w:r>
    </w:p>
    <w:p w14:paraId="1F48F459">
      <w:pPr>
        <w:spacing w:line="360" w:lineRule="auto"/>
        <w:jc w:val="center"/>
        <w:rPr>
          <w:rFonts w:ascii="宋体"/>
          <w:b/>
          <w:sz w:val="48"/>
          <w:szCs w:val="48"/>
        </w:rPr>
      </w:pPr>
      <w:r>
        <w:rPr>
          <w:rFonts w:hint="eastAsia" w:ascii="宋体"/>
          <w:b/>
          <w:sz w:val="48"/>
          <w:szCs w:val="48"/>
        </w:rPr>
        <w:t>术</w:t>
      </w:r>
    </w:p>
    <w:p w14:paraId="7254F982">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5A6337A1">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0468698B">
      <w:pPr>
        <w:spacing w:line="360" w:lineRule="auto"/>
        <w:jc w:val="center"/>
        <w:rPr>
          <w:rFonts w:ascii="宋体"/>
          <w:b/>
          <w:sz w:val="48"/>
          <w:szCs w:val="48"/>
        </w:rPr>
      </w:pPr>
      <w:r>
        <w:rPr>
          <w:rFonts w:hint="eastAsia" w:ascii="宋体"/>
          <w:b/>
          <w:sz w:val="48"/>
          <w:szCs w:val="48"/>
          <w:lang w:val="en-US" w:eastAsia="zh-CN"/>
        </w:rPr>
        <w:t>书</w:t>
      </w:r>
    </w:p>
    <w:p w14:paraId="213CCA74">
      <w:pPr>
        <w:jc w:val="center"/>
        <w:rPr>
          <w:rFonts w:ascii="宋体" w:hAnsi="宋体"/>
          <w:b/>
          <w:sz w:val="48"/>
          <w:szCs w:val="48"/>
        </w:rPr>
      </w:pPr>
    </w:p>
    <w:p w14:paraId="18BFC5D2">
      <w:pPr>
        <w:jc w:val="center"/>
        <w:rPr>
          <w:rFonts w:ascii="宋体" w:hAnsi="宋体" w:cs="宋体"/>
          <w:sz w:val="22"/>
          <w:szCs w:val="22"/>
        </w:rPr>
      </w:pPr>
    </w:p>
    <w:p w14:paraId="4B157112">
      <w:pPr>
        <w:spacing w:line="360" w:lineRule="auto"/>
        <w:jc w:val="center"/>
        <w:rPr>
          <w:rFonts w:ascii="方正小标宋简体" w:eastAsia="方正小标宋简体"/>
          <w:sz w:val="72"/>
          <w:szCs w:val="72"/>
        </w:rPr>
      </w:pPr>
    </w:p>
    <w:p w14:paraId="08191173">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2EFAED8C">
      <w:pPr>
        <w:pStyle w:val="55"/>
        <w:spacing w:before="560" w:after="560" w:line="240" w:lineRule="auto"/>
        <w:rPr>
          <w:rFonts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w:t>
      </w:r>
      <w:r>
        <w:rPr>
          <w:rFonts w:hint="eastAsia" w:asciiTheme="minorEastAsia" w:hAnsiTheme="minorEastAsia" w:eastAsiaTheme="minorEastAsia"/>
          <w:b/>
          <w:sz w:val="36"/>
          <w:szCs w:val="36"/>
          <w:lang w:val="en-US" w:eastAsia="zh-CN"/>
        </w:rPr>
        <w:t>25</w:t>
      </w:r>
      <w:r>
        <w:rPr>
          <w:rFonts w:hint="eastAsia" w:asciiTheme="minorEastAsia" w:hAnsiTheme="minorEastAsia" w:eastAsiaTheme="minorEastAsia"/>
          <w:b/>
          <w:sz w:val="36"/>
          <w:szCs w:val="36"/>
        </w:rPr>
        <w:t>年0</w:t>
      </w:r>
      <w:r>
        <w:rPr>
          <w:rFonts w:hint="eastAsia" w:asciiTheme="minorEastAsia" w:hAnsiTheme="minorEastAsia" w:eastAsiaTheme="minorEastAsia"/>
          <w:b/>
          <w:sz w:val="36"/>
          <w:szCs w:val="36"/>
          <w:lang w:val="en-US" w:eastAsia="zh-CN"/>
        </w:rPr>
        <w:t>2</w:t>
      </w:r>
      <w:r>
        <w:rPr>
          <w:rFonts w:hint="eastAsia" w:asciiTheme="minorEastAsia" w:hAnsiTheme="minorEastAsia" w:eastAsiaTheme="minorEastAsia"/>
          <w:b/>
          <w:sz w:val="36"/>
          <w:szCs w:val="36"/>
        </w:rPr>
        <w:t>月</w:t>
      </w:r>
    </w:p>
    <w:p w14:paraId="0BDAA79F">
      <w:pPr>
        <w:pStyle w:val="222"/>
        <w:jc w:val="center"/>
        <w:rPr>
          <w:rFonts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6E77D443">
          <w:pPr>
            <w:widowControl/>
            <w:jc w:val="center"/>
          </w:pPr>
        </w:p>
        <w:p w14:paraId="21456ADF">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3"/>
            </w:rPr>
            <w:t>1</w:t>
          </w:r>
          <w:r>
            <w:rPr>
              <w:rStyle w:val="43"/>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0CE228F3">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3"/>
            </w:rPr>
            <w:t>2</w:t>
          </w:r>
          <w:r>
            <w:rPr>
              <w:rStyle w:val="43"/>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48E7BE7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3"/>
            </w:rPr>
            <w:t>3</w:t>
          </w:r>
          <w:r>
            <w:rPr>
              <w:rStyle w:val="43"/>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3BDDE3CE">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3"/>
            </w:rPr>
            <w:t>4</w:t>
          </w:r>
          <w:r>
            <w:rPr>
              <w:rStyle w:val="43"/>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6EBF05F9">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3"/>
            </w:rPr>
            <w:t>5</w:t>
          </w:r>
          <w:r>
            <w:rPr>
              <w:rStyle w:val="43"/>
              <w:rFonts w:hint="eastAsia"/>
            </w:rPr>
            <w:t>　技术参数和性能要求</w:t>
          </w:r>
          <w:r>
            <w:tab/>
          </w:r>
          <w:r>
            <w:fldChar w:fldCharType="begin"/>
          </w:r>
          <w:r>
            <w:instrText xml:space="preserve"> PAGEREF _Toc438720045 \h </w:instrText>
          </w:r>
          <w:r>
            <w:fldChar w:fldCharType="separate"/>
          </w:r>
          <w:r>
            <w:t>5</w:t>
          </w:r>
          <w:r>
            <w:fldChar w:fldCharType="end"/>
          </w:r>
          <w:r>
            <w:fldChar w:fldCharType="end"/>
          </w:r>
        </w:p>
        <w:p w14:paraId="2A067D56">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3"/>
            </w:rPr>
            <w:t>6</w:t>
          </w:r>
          <w:r>
            <w:rPr>
              <w:rStyle w:val="43"/>
              <w:rFonts w:hint="eastAsia"/>
            </w:rPr>
            <w:t>　试验</w:t>
          </w:r>
          <w:r>
            <w:tab/>
          </w:r>
          <w:r>
            <w:fldChar w:fldCharType="begin"/>
          </w:r>
          <w:r>
            <w:instrText xml:space="preserve"> PAGEREF _Toc438720046 \h </w:instrText>
          </w:r>
          <w:r>
            <w:fldChar w:fldCharType="separate"/>
          </w:r>
          <w:r>
            <w:t>6</w:t>
          </w:r>
          <w:r>
            <w:fldChar w:fldCharType="end"/>
          </w:r>
          <w:r>
            <w:fldChar w:fldCharType="end"/>
          </w:r>
        </w:p>
        <w:p w14:paraId="1FCEDBD5">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3"/>
            </w:rPr>
            <w:t>7</w:t>
          </w:r>
          <w:r>
            <w:rPr>
              <w:rStyle w:val="43"/>
              <w:rFonts w:hint="eastAsia"/>
            </w:rPr>
            <w:t>　技术服务、工厂检验</w:t>
          </w:r>
          <w:r>
            <w:tab/>
          </w:r>
          <w:r>
            <w:fldChar w:fldCharType="begin"/>
          </w:r>
          <w:r>
            <w:instrText xml:space="preserve"> PAGEREF _Toc438720047 \h </w:instrText>
          </w:r>
          <w:r>
            <w:fldChar w:fldCharType="separate"/>
          </w:r>
          <w:r>
            <w:t>7</w:t>
          </w:r>
          <w:r>
            <w:fldChar w:fldCharType="end"/>
          </w:r>
          <w:r>
            <w:fldChar w:fldCharType="end"/>
          </w:r>
        </w:p>
        <w:p w14:paraId="4F6E4BE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3"/>
            </w:rPr>
            <w:t>8</w:t>
          </w:r>
          <w:r>
            <w:rPr>
              <w:rStyle w:val="43"/>
              <w:rFonts w:hint="eastAsia"/>
            </w:rPr>
            <w:t>　报价表</w:t>
          </w:r>
          <w:r>
            <w:tab/>
          </w:r>
          <w:r>
            <w:fldChar w:fldCharType="begin"/>
          </w:r>
          <w:r>
            <w:instrText xml:space="preserve"> PAGEREF _Toc438720048 \h </w:instrText>
          </w:r>
          <w:r>
            <w:fldChar w:fldCharType="separate"/>
          </w:r>
          <w:r>
            <w:t>8</w:t>
          </w:r>
          <w:r>
            <w:fldChar w:fldCharType="end"/>
          </w:r>
          <w:r>
            <w:fldChar w:fldCharType="end"/>
          </w:r>
        </w:p>
        <w:p w14:paraId="09A3CAD3">
          <w:pPr>
            <w:adjustRightInd w:val="0"/>
            <w:snapToGrid w:val="0"/>
          </w:pPr>
          <w:r>
            <w:rPr>
              <w:szCs w:val="21"/>
            </w:rPr>
            <w:fldChar w:fldCharType="end"/>
          </w:r>
        </w:p>
      </w:sdtContent>
    </w:sdt>
    <w:p w14:paraId="7F5F2A24">
      <w:pPr>
        <w:widowControl/>
        <w:jc w:val="center"/>
        <w:rPr>
          <w:rFonts w:asciiTheme="minorEastAsia" w:hAnsiTheme="minorEastAsia" w:eastAsiaTheme="minorEastAsia"/>
          <w:b/>
          <w:sz w:val="36"/>
          <w:szCs w:val="36"/>
        </w:rPr>
      </w:pPr>
    </w:p>
    <w:p w14:paraId="57A78556">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33C16448">
      <w:pPr>
        <w:pStyle w:val="60"/>
        <w:outlineLvl w:val="0"/>
      </w:pPr>
      <w:bookmarkStart w:id="0" w:name="_Toc355884468"/>
      <w:bookmarkStart w:id="1" w:name="_Toc396866892"/>
      <w:bookmarkStart w:id="2" w:name="_Toc438720041"/>
      <w:bookmarkStart w:id="3" w:name="_Toc344384427"/>
      <w:r>
        <w:rPr>
          <w:rFonts w:hint="eastAsia"/>
        </w:rPr>
        <w:t>1　范围</w:t>
      </w:r>
      <w:bookmarkEnd w:id="0"/>
      <w:bookmarkEnd w:id="1"/>
      <w:bookmarkEnd w:id="2"/>
      <w:bookmarkEnd w:id="3"/>
    </w:p>
    <w:p w14:paraId="0B7BFB9F">
      <w:pPr>
        <w:topLinePunct/>
        <w:spacing w:line="326" w:lineRule="exact"/>
        <w:ind w:firstLine="420"/>
        <w:rPr>
          <w:snapToGrid w:val="0"/>
          <w:szCs w:val="21"/>
        </w:rPr>
      </w:pPr>
      <w:r>
        <w:rPr>
          <w:rFonts w:hint="eastAsia"/>
          <w:snapToGrid w:val="0"/>
          <w:szCs w:val="21"/>
        </w:rPr>
        <w:t>本部分规定了</w:t>
      </w:r>
      <w:r>
        <w:rPr>
          <w:rFonts w:hint="eastAsia"/>
          <w:snapToGrid w:val="0"/>
          <w:szCs w:val="21"/>
          <w:lang w:eastAsia="zh-CN"/>
        </w:rPr>
        <w:t>电流互感器</w:t>
      </w:r>
      <w:r>
        <w:rPr>
          <w:rFonts w:hint="eastAsia"/>
          <w:snapToGrid w:val="0"/>
          <w:szCs w:val="21"/>
        </w:rPr>
        <w:t>招标的总则、技术参数和性能要求、试验、包装、运输、交货及工厂检验和监造的一般要求。</w:t>
      </w:r>
    </w:p>
    <w:p w14:paraId="24F0C9E5">
      <w:pPr>
        <w:topLinePunct/>
        <w:spacing w:line="326" w:lineRule="exact"/>
        <w:ind w:firstLine="420"/>
        <w:rPr>
          <w:snapToGrid w:val="0"/>
          <w:szCs w:val="21"/>
        </w:rPr>
      </w:pPr>
      <w:r>
        <w:rPr>
          <w:rFonts w:hint="eastAsia"/>
          <w:snapToGrid w:val="0"/>
          <w:szCs w:val="21"/>
        </w:rPr>
        <w:t>本部分适用于</w:t>
      </w:r>
      <w:r>
        <w:rPr>
          <w:rFonts w:hint="eastAsia"/>
          <w:snapToGrid w:val="0"/>
          <w:szCs w:val="21"/>
          <w:lang w:eastAsia="zh-CN"/>
        </w:rPr>
        <w:t>电流互感器的</w:t>
      </w:r>
      <w:r>
        <w:rPr>
          <w:rFonts w:hint="eastAsia"/>
          <w:snapToGrid w:val="0"/>
          <w:szCs w:val="21"/>
        </w:rPr>
        <w:t>招标。</w:t>
      </w:r>
    </w:p>
    <w:p w14:paraId="52A61A78">
      <w:pPr>
        <w:pStyle w:val="60"/>
        <w:outlineLvl w:val="0"/>
      </w:pPr>
      <w:bookmarkStart w:id="4" w:name="_Toc438720042"/>
      <w:r>
        <w:rPr>
          <w:rFonts w:hint="eastAsia"/>
        </w:rPr>
        <w:t>2　规范性引用文件</w:t>
      </w:r>
      <w:bookmarkEnd w:id="4"/>
    </w:p>
    <w:p w14:paraId="6E986C37">
      <w:pPr>
        <w:topLinePunct/>
        <w:spacing w:line="326" w:lineRule="exact"/>
        <w:ind w:firstLine="420"/>
        <w:rPr>
          <w:rFonts w:hint="eastAsia"/>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6477AAA0">
      <w:pPr>
        <w:topLinePunct/>
        <w:spacing w:line="326" w:lineRule="exact"/>
        <w:ind w:firstLine="420"/>
        <w:rPr>
          <w:rFonts w:hint="default"/>
          <w:snapToGrid w:val="0"/>
          <w:szCs w:val="21"/>
        </w:rPr>
      </w:pPr>
    </w:p>
    <w:p w14:paraId="471E5F5F">
      <w:pPr>
        <w:topLinePunct/>
        <w:spacing w:line="326" w:lineRule="exact"/>
        <w:ind w:firstLine="420"/>
        <w:rPr>
          <w:rFonts w:hint="default"/>
          <w:snapToGrid w:val="0"/>
          <w:szCs w:val="21"/>
        </w:rPr>
      </w:pPr>
      <w:r>
        <w:rPr>
          <w:rFonts w:hint="default"/>
          <w:snapToGrid w:val="0"/>
          <w:szCs w:val="21"/>
        </w:rPr>
        <w:t xml:space="preserve">GB1208-1997  《电流互感器》  </w:t>
      </w:r>
    </w:p>
    <w:p w14:paraId="3BC05876">
      <w:pPr>
        <w:topLinePunct/>
        <w:spacing w:line="326" w:lineRule="exact"/>
        <w:ind w:firstLine="420"/>
        <w:rPr>
          <w:rFonts w:hint="default"/>
          <w:snapToGrid w:val="0"/>
          <w:szCs w:val="21"/>
        </w:rPr>
      </w:pPr>
      <w:r>
        <w:rPr>
          <w:rFonts w:hint="default"/>
          <w:snapToGrid w:val="0"/>
          <w:szCs w:val="21"/>
        </w:rPr>
        <w:t xml:space="preserve">JJG313-1994   《测量用电流互感器检定规程》 </w:t>
      </w:r>
    </w:p>
    <w:p w14:paraId="39C4DC6E">
      <w:pPr>
        <w:topLinePunct/>
        <w:spacing w:line="326" w:lineRule="exact"/>
        <w:ind w:firstLine="420"/>
        <w:rPr>
          <w:rFonts w:hint="default"/>
          <w:snapToGrid w:val="0"/>
          <w:szCs w:val="21"/>
        </w:rPr>
      </w:pPr>
      <w:r>
        <w:rPr>
          <w:rFonts w:hint="default"/>
          <w:snapToGrid w:val="0"/>
          <w:szCs w:val="21"/>
        </w:rPr>
        <w:t xml:space="preserve">JJG1021-2007  《电力互感器检定规程》  </w:t>
      </w:r>
    </w:p>
    <w:p w14:paraId="2F5C9A5E">
      <w:pPr>
        <w:topLinePunct/>
        <w:spacing w:line="326" w:lineRule="exact"/>
        <w:ind w:firstLine="420"/>
        <w:rPr>
          <w:rFonts w:hint="default"/>
          <w:snapToGrid w:val="0"/>
          <w:szCs w:val="21"/>
        </w:rPr>
      </w:pPr>
      <w:r>
        <w:rPr>
          <w:rFonts w:hint="default"/>
          <w:snapToGrid w:val="0"/>
          <w:szCs w:val="21"/>
        </w:rPr>
        <w:t>DL/T 725-2000 《电力用电流互感器订货技术条件》</w:t>
      </w:r>
    </w:p>
    <w:p w14:paraId="09417C44">
      <w:pPr>
        <w:pStyle w:val="60"/>
        <w:outlineLvl w:val="0"/>
      </w:pPr>
      <w:bookmarkStart w:id="5" w:name="_Toc438720043"/>
      <w:r>
        <w:rPr>
          <w:rFonts w:hint="eastAsia"/>
        </w:rPr>
        <w:t>3　术语和定义</w:t>
      </w:r>
      <w:bookmarkEnd w:id="5"/>
    </w:p>
    <w:p w14:paraId="6A809FEC">
      <w:pPr>
        <w:topLinePunct/>
        <w:spacing w:line="326" w:lineRule="exact"/>
        <w:ind w:firstLine="420"/>
        <w:rPr>
          <w:snapToGrid w:val="0"/>
          <w:szCs w:val="21"/>
        </w:rPr>
      </w:pPr>
      <w:r>
        <w:rPr>
          <w:rFonts w:hint="eastAsia"/>
          <w:snapToGrid w:val="0"/>
          <w:szCs w:val="21"/>
        </w:rPr>
        <w:t>下列术语和定义适用于本文件。</w:t>
      </w:r>
    </w:p>
    <w:p w14:paraId="394323A0">
      <w:pPr>
        <w:topLinePunct/>
        <w:spacing w:line="326" w:lineRule="exact"/>
        <w:ind w:firstLine="420"/>
        <w:rPr>
          <w:snapToGrid w:val="0"/>
          <w:szCs w:val="21"/>
        </w:rPr>
      </w:pPr>
      <w:r>
        <w:rPr>
          <w:snapToGrid w:val="0"/>
          <w:szCs w:val="21"/>
        </w:rPr>
        <w:t>3.1</w:t>
      </w:r>
      <w:r>
        <w:rPr>
          <w:rFonts w:hint="eastAsia"/>
          <w:snapToGrid w:val="0"/>
          <w:szCs w:val="21"/>
        </w:rPr>
        <w:t>　</w:t>
      </w:r>
    </w:p>
    <w:p w14:paraId="73DD9FCF">
      <w:pPr>
        <w:topLinePunct/>
        <w:spacing w:line="326" w:lineRule="exact"/>
        <w:ind w:firstLine="420"/>
        <w:rPr>
          <w:snapToGrid w:val="0"/>
          <w:szCs w:val="21"/>
        </w:rPr>
      </w:pPr>
      <w:r>
        <w:rPr>
          <w:rFonts w:hint="eastAsia"/>
          <w:snapToGrid w:val="0"/>
          <w:szCs w:val="21"/>
        </w:rPr>
        <w:t>招标人　</w:t>
      </w:r>
      <w:r>
        <w:rPr>
          <w:snapToGrid w:val="0"/>
          <w:szCs w:val="21"/>
        </w:rPr>
        <w:t>bidder</w:t>
      </w:r>
    </w:p>
    <w:p w14:paraId="25ED27DE">
      <w:pPr>
        <w:topLinePunct/>
        <w:spacing w:line="326" w:lineRule="exact"/>
        <w:ind w:firstLine="420"/>
        <w:rPr>
          <w:snapToGrid w:val="0"/>
          <w:szCs w:val="21"/>
        </w:rPr>
      </w:pPr>
      <w:r>
        <w:rPr>
          <w:rFonts w:hint="eastAsia"/>
          <w:snapToGrid w:val="0"/>
          <w:szCs w:val="21"/>
        </w:rPr>
        <w:t>提出招标项目，进行招标的法人或其他组织。</w:t>
      </w:r>
    </w:p>
    <w:p w14:paraId="29C14192">
      <w:pPr>
        <w:topLinePunct/>
        <w:spacing w:line="326" w:lineRule="exact"/>
        <w:ind w:firstLine="420"/>
        <w:rPr>
          <w:snapToGrid w:val="0"/>
          <w:szCs w:val="21"/>
        </w:rPr>
      </w:pPr>
      <w:r>
        <w:rPr>
          <w:snapToGrid w:val="0"/>
          <w:szCs w:val="21"/>
        </w:rPr>
        <w:t>3.2</w:t>
      </w:r>
      <w:r>
        <w:rPr>
          <w:rFonts w:hint="eastAsia"/>
          <w:snapToGrid w:val="0"/>
          <w:szCs w:val="21"/>
        </w:rPr>
        <w:t>　</w:t>
      </w:r>
    </w:p>
    <w:p w14:paraId="76BE8892">
      <w:pPr>
        <w:topLinePunct/>
        <w:spacing w:line="326" w:lineRule="exact"/>
        <w:ind w:firstLine="420"/>
        <w:rPr>
          <w:snapToGrid w:val="0"/>
          <w:szCs w:val="21"/>
        </w:rPr>
      </w:pPr>
      <w:r>
        <w:rPr>
          <w:rFonts w:hint="eastAsia"/>
          <w:snapToGrid w:val="0"/>
          <w:szCs w:val="21"/>
        </w:rPr>
        <w:t>投标人　</w:t>
      </w:r>
      <w:r>
        <w:rPr>
          <w:snapToGrid w:val="0"/>
          <w:szCs w:val="21"/>
        </w:rPr>
        <w:t>tenderer</w:t>
      </w:r>
    </w:p>
    <w:p w14:paraId="239B66B8">
      <w:pPr>
        <w:topLinePunct/>
        <w:spacing w:line="326" w:lineRule="exact"/>
        <w:ind w:firstLine="420"/>
        <w:rPr>
          <w:snapToGrid w:val="0"/>
          <w:szCs w:val="21"/>
        </w:rPr>
      </w:pPr>
      <w:r>
        <w:rPr>
          <w:rFonts w:hint="eastAsia"/>
          <w:snapToGrid w:val="0"/>
          <w:szCs w:val="21"/>
        </w:rPr>
        <w:t>响应招标、参加投标竞争的法人或者其他组织。</w:t>
      </w:r>
    </w:p>
    <w:p w14:paraId="66018F59">
      <w:pPr>
        <w:topLinePunct/>
        <w:spacing w:line="326" w:lineRule="exact"/>
        <w:ind w:firstLine="420"/>
        <w:rPr>
          <w:snapToGrid w:val="0"/>
          <w:szCs w:val="21"/>
        </w:rPr>
      </w:pPr>
      <w:r>
        <w:rPr>
          <w:snapToGrid w:val="0"/>
          <w:szCs w:val="21"/>
        </w:rPr>
        <w:t>3.3</w:t>
      </w:r>
      <w:r>
        <w:rPr>
          <w:rFonts w:hint="eastAsia"/>
          <w:snapToGrid w:val="0"/>
          <w:szCs w:val="21"/>
        </w:rPr>
        <w:t>　</w:t>
      </w:r>
    </w:p>
    <w:p w14:paraId="402D4B42">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7B44A387">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68E74FFD">
      <w:pPr>
        <w:topLinePunct/>
        <w:spacing w:line="326" w:lineRule="exact"/>
        <w:ind w:firstLine="420"/>
        <w:rPr>
          <w:snapToGrid w:val="0"/>
          <w:szCs w:val="21"/>
        </w:rPr>
      </w:pPr>
      <w:r>
        <w:rPr>
          <w:snapToGrid w:val="0"/>
          <w:szCs w:val="21"/>
        </w:rPr>
        <w:t>3.4</w:t>
      </w:r>
    </w:p>
    <w:p w14:paraId="2EB5DFC3">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75BC46E1">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13AC818C">
      <w:pPr>
        <w:pStyle w:val="60"/>
        <w:outlineLvl w:val="0"/>
      </w:pPr>
      <w:bookmarkStart w:id="6" w:name="_Toc438720044"/>
      <w:r>
        <w:rPr>
          <w:rFonts w:hint="eastAsia"/>
        </w:rPr>
        <w:t>4　总则</w:t>
      </w:r>
      <w:bookmarkEnd w:id="6"/>
    </w:p>
    <w:p w14:paraId="77BCEFC7">
      <w:pPr>
        <w:pStyle w:val="59"/>
      </w:pPr>
      <w:r>
        <w:rPr>
          <w:rFonts w:hint="eastAsia"/>
        </w:rPr>
        <w:t>4</w:t>
      </w:r>
      <w:r>
        <w:rPr>
          <w:rFonts w:hint="eastAsia"/>
          <w:spacing w:val="20"/>
        </w:rPr>
        <w:t>.</w:t>
      </w:r>
      <w:r>
        <w:rPr>
          <w:rFonts w:hint="eastAsia"/>
        </w:rPr>
        <w:t>1　一般规定</w:t>
      </w:r>
    </w:p>
    <w:p w14:paraId="2AE17B87">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0D837C15">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333DCA5C">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1840A73E">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如果投标人没有以书面形式对本部分的条文提出差异，则意味着投标人提供的设备完全符合本部分的要求。如有与本部分要求不一致的地方，应逐项在技术差异表中列出。</w:t>
      </w:r>
    </w:p>
    <w:p w14:paraId="19996F48">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0423F412">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786631DB">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27FEB313">
      <w:pPr>
        <w:pStyle w:val="59"/>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0A3C2836">
      <w:pPr>
        <w:topLinePunct/>
        <w:spacing w:line="312" w:lineRule="exact"/>
        <w:ind w:firstLine="420"/>
        <w:rPr>
          <w:snapToGrid w:val="0"/>
          <w:szCs w:val="21"/>
        </w:rPr>
      </w:pPr>
      <w:r>
        <w:rPr>
          <w:rFonts w:hint="eastAsia"/>
          <w:snapToGrid w:val="0"/>
          <w:szCs w:val="21"/>
        </w:rPr>
        <w:t>投标人应提供下列资格文件：</w:t>
      </w:r>
    </w:p>
    <w:p w14:paraId="2C93829E">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45C66779">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2DD274F9">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投标人或制造商应提供履行合同所需的技术和主要设备等生产能力的文件资料。</w:t>
      </w:r>
    </w:p>
    <w:p w14:paraId="64C6D3A0">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投标人应提供有能力履行合同设备维护保养、修理及其他服务义务的文件。</w:t>
      </w:r>
    </w:p>
    <w:p w14:paraId="32D552BA">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77C8C0B3">
      <w:pPr>
        <w:topLinePunct/>
        <w:spacing w:line="312" w:lineRule="exact"/>
        <w:ind w:left="840" w:hanging="420"/>
        <w:rPr>
          <w:snapToGrid w:val="0"/>
          <w:szCs w:val="21"/>
        </w:rPr>
      </w:pPr>
      <w:r>
        <w:rPr>
          <w:snapToGrid w:val="0"/>
          <w:szCs w:val="21"/>
        </w:rPr>
        <w:t>f</w:t>
      </w:r>
      <w:r>
        <w:rPr>
          <w:rFonts w:hint="eastAsia"/>
          <w:snapToGrid w:val="0"/>
          <w:szCs w:val="21"/>
        </w:rPr>
        <w:t>）</w:t>
      </w:r>
      <w:r>
        <w:rPr>
          <w:snapToGrid w:val="0"/>
          <w:szCs w:val="21"/>
        </w:rPr>
        <w:tab/>
      </w:r>
      <w:r>
        <w:rPr>
          <w:rFonts w:hint="eastAsia"/>
          <w:snapToGrid w:val="0"/>
          <w:szCs w:val="21"/>
        </w:rPr>
        <w:t>投标人或制造商应提供一份详细的投标产品中重要外购或配套部件供应商清单及检验报告。</w:t>
      </w:r>
    </w:p>
    <w:p w14:paraId="7DF33521">
      <w:pPr>
        <w:pStyle w:val="59"/>
      </w:pPr>
      <w:r>
        <w:rPr>
          <w:rFonts w:hint="eastAsia"/>
        </w:rPr>
        <w:t>4</w:t>
      </w:r>
      <w:r>
        <w:rPr>
          <w:rFonts w:hint="eastAsia"/>
          <w:spacing w:val="20"/>
        </w:rPr>
        <w:t>.</w:t>
      </w:r>
      <w:r>
        <w:rPr>
          <w:rFonts w:hint="eastAsia"/>
        </w:rPr>
        <w:t>3　适用范围</w:t>
      </w:r>
    </w:p>
    <w:p w14:paraId="4AE8FEB8">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本部分的适用范围仅限于本工程的投标产品。内容包括设计、结构、性能、安装、试验、调试及现场服务和技术服务。</w:t>
      </w:r>
    </w:p>
    <w:p w14:paraId="6CBB0458">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649D90EC">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51F00302">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5E03A20F">
      <w:pPr>
        <w:topLinePunct/>
        <w:spacing w:line="312" w:lineRule="exact"/>
        <w:ind w:firstLine="420"/>
        <w:rPr>
          <w:szCs w:val="21"/>
        </w:rPr>
      </w:pPr>
      <w:r>
        <w:rPr>
          <w:rFonts w:hint="eastAsia"/>
          <w:szCs w:val="21"/>
        </w:rPr>
        <w:t>投标人应提供具体投标系列所对应的资质文件：</w:t>
      </w:r>
    </w:p>
    <w:p w14:paraId="529933BC">
      <w:pPr>
        <w:ind w:left="840" w:hanging="420"/>
      </w:pPr>
      <w:r>
        <w:t>a</w:t>
      </w:r>
      <w:r>
        <w:rPr>
          <w:rFonts w:hint="eastAsia"/>
        </w:rPr>
        <w:t>）</w:t>
      </w:r>
      <w:r>
        <w:rPr>
          <w:rFonts w:hint="eastAsia"/>
          <w:lang w:val="en-US" w:eastAsia="zh-CN"/>
        </w:rPr>
        <w:t xml:space="preserve"> 电流互感器</w:t>
      </w:r>
      <w:r>
        <w:rPr>
          <w:rFonts w:hint="eastAsia"/>
        </w:rPr>
        <w:t>的3C证书、型式试验报告和出厂试验报告。</w:t>
      </w:r>
    </w:p>
    <w:p w14:paraId="4B263BF1">
      <w:pPr>
        <w:ind w:left="840" w:hanging="420"/>
      </w:pPr>
      <w:r>
        <w:t>b</w:t>
      </w:r>
      <w:r>
        <w:rPr>
          <w:rFonts w:hint="eastAsia"/>
        </w:rPr>
        <w:t>）</w:t>
      </w:r>
      <w:r>
        <w:tab/>
      </w:r>
      <w:r>
        <w:rPr>
          <w:rFonts w:hint="eastAsia"/>
          <w:lang w:eastAsia="zh-CN"/>
        </w:rPr>
        <w:t>电流互感器的</w:t>
      </w:r>
      <w:r>
        <w:rPr>
          <w:rFonts w:hint="eastAsia"/>
        </w:rPr>
        <w:t>主要元件的型式试验报告和出厂试验报告。</w:t>
      </w:r>
    </w:p>
    <w:p w14:paraId="7CCDC920">
      <w:pPr>
        <w:ind w:left="840" w:hanging="420"/>
      </w:pPr>
      <w:r>
        <w:t>c</w:t>
      </w:r>
      <w:r>
        <w:rPr>
          <w:rFonts w:hint="eastAsia"/>
        </w:rPr>
        <w:t>）</w:t>
      </w:r>
      <w:r>
        <w:tab/>
      </w:r>
      <w:r>
        <w:rPr>
          <w:rFonts w:hint="eastAsia"/>
        </w:rPr>
        <w:t>当产品的设计、工艺、生产条件或使用的材料及主要元件发生重大改变而影响到产品性能时，应做相应的型式试验并提供试验报告。</w:t>
      </w:r>
    </w:p>
    <w:p w14:paraId="6FE489D7">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7D0135C9">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1　</w:t>
      </w:r>
      <w:r>
        <w:rPr>
          <w:rFonts w:hint="eastAsia"/>
          <w:snapToGrid w:val="0"/>
          <w:szCs w:val="21"/>
        </w:rPr>
        <w:t>合同中所有设备、备品备件，包括投标人从第三方获得的所有附件和设备，除本部分中规定的技术参数和要求外，其余均应遵照最新版本的电力行业标准（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），这是对设备的最低要求。投标人如果采用自己的标准或规范，应向招标人提供中文和英文（若有）复印件并经招标人同意后方可采用，但不能低于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493225C6">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2　</w:t>
      </w:r>
      <w:r>
        <w:rPr>
          <w:rFonts w:hint="eastAsia"/>
          <w:snapToGrid w:val="0"/>
          <w:szCs w:val="21"/>
        </w:rPr>
        <w:t>所有螺栓、双头螺栓、螺纹、管螺纹、螺栓夹及螺母均应遵守国际标准化组织（</w:t>
      </w:r>
      <w:r>
        <w:rPr>
          <w:snapToGrid w:val="0"/>
          <w:szCs w:val="21"/>
        </w:rPr>
        <w:t>ISO</w:t>
      </w:r>
      <w:r>
        <w:rPr>
          <w:rFonts w:hint="eastAsia"/>
          <w:snapToGrid w:val="0"/>
          <w:szCs w:val="21"/>
        </w:rPr>
        <w:t>）和国际单位制（</w:t>
      </w:r>
      <w:r>
        <w:rPr>
          <w:snapToGrid w:val="0"/>
          <w:szCs w:val="21"/>
        </w:rPr>
        <w:t>SI</w:t>
      </w:r>
      <w:r>
        <w:rPr>
          <w:rFonts w:hint="eastAsia"/>
          <w:snapToGrid w:val="0"/>
          <w:szCs w:val="21"/>
        </w:rPr>
        <w:t>）的标准。</w:t>
      </w:r>
    </w:p>
    <w:p w14:paraId="5BFDFED9">
      <w:pPr>
        <w:pStyle w:val="59"/>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60D8DA89">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0E890A93">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7DAFB73A">
      <w:pPr>
        <w:pStyle w:val="59"/>
        <w:rPr>
          <w:snapToGrid w:val="0"/>
        </w:rPr>
      </w:pPr>
      <w:r>
        <w:rPr>
          <w:rFonts w:hint="eastAsia"/>
          <w:snapToGrid w:val="0"/>
        </w:rPr>
        <w:t>4</w:t>
      </w:r>
      <w:r>
        <w:rPr>
          <w:rFonts w:hint="eastAsia"/>
          <w:snapToGrid w:val="0"/>
          <w:spacing w:val="20"/>
        </w:rPr>
        <w:t>.</w:t>
      </w:r>
      <w:r>
        <w:rPr>
          <w:rFonts w:hint="eastAsia"/>
          <w:snapToGrid w:val="0"/>
        </w:rPr>
        <w:t>7　备品备件</w:t>
      </w:r>
    </w:p>
    <w:p w14:paraId="35EE4EB3">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投标人应提供必备和推荐的备品备件，并分别列出其单价（商务部分填写，如有）。</w:t>
      </w:r>
    </w:p>
    <w:p w14:paraId="2EC99FCB">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2　</w:t>
      </w:r>
      <w:r>
        <w:rPr>
          <w:rFonts w:hint="eastAsia"/>
          <w:snapToGrid w:val="0"/>
          <w:szCs w:val="21"/>
        </w:rPr>
        <w:t>所有备品备件应为全新产品，与已经安装同型号设备的相应部件能够互换。</w:t>
      </w:r>
    </w:p>
    <w:p w14:paraId="0996EC6E">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3　</w:t>
      </w:r>
      <w:r>
        <w:rPr>
          <w:rFonts w:hint="eastAsia"/>
          <w:snapToGrid w:val="0"/>
          <w:szCs w:val="21"/>
        </w:rPr>
        <w:t>所有备品备件应单独装箱，包装应能防尘、防潮、防止损坏等，与主设备一并发运，并标注“备品备件”，以区别本体。</w:t>
      </w:r>
    </w:p>
    <w:p w14:paraId="4FACC4A0">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4　</w:t>
      </w:r>
      <w:r>
        <w:rPr>
          <w:rFonts w:hint="eastAsia"/>
        </w:rPr>
        <w:t>配套提供设备支架，供货前同项目单位确认安装方式。</w:t>
      </w:r>
    </w:p>
    <w:p w14:paraId="1EEA577D">
      <w:pPr>
        <w:pStyle w:val="59"/>
        <w:rPr>
          <w:snapToGrid w:val="0"/>
        </w:rPr>
      </w:pPr>
      <w:r>
        <w:rPr>
          <w:rFonts w:hint="eastAsia"/>
          <w:snapToGrid w:val="0"/>
        </w:rPr>
        <w:t>4</w:t>
      </w:r>
      <w:r>
        <w:rPr>
          <w:rFonts w:hint="eastAsia"/>
          <w:snapToGrid w:val="0"/>
          <w:spacing w:val="20"/>
        </w:rPr>
        <w:t>.</w:t>
      </w:r>
      <w:r>
        <w:rPr>
          <w:rFonts w:hint="eastAsia"/>
          <w:snapToGrid w:val="0"/>
        </w:rPr>
        <w:t>8　专用工具与仪器仪表</w:t>
      </w:r>
    </w:p>
    <w:p w14:paraId="4A769265">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投标人应提供必备和推荐的专用工具和仪器仪表，并列出其单价（商务部分填写，如有）。</w:t>
      </w:r>
    </w:p>
    <w:p w14:paraId="440394CD">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2　</w:t>
      </w:r>
      <w:r>
        <w:rPr>
          <w:rFonts w:hint="eastAsia"/>
          <w:snapToGrid w:val="0"/>
          <w:szCs w:val="21"/>
        </w:rPr>
        <w:t>所有专用工具与仪器仪表应是全新的，并附详细的使用说明资料。</w:t>
      </w:r>
    </w:p>
    <w:p w14:paraId="2FC77A7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3　</w:t>
      </w:r>
      <w:r>
        <w:rPr>
          <w:rFonts w:hint="eastAsia"/>
          <w:snapToGrid w:val="0"/>
          <w:szCs w:val="21"/>
        </w:rPr>
        <w:t>专用工具与仪器仪表应</w:t>
      </w:r>
      <w:r>
        <w:rPr>
          <w:rFonts w:hint="eastAsia"/>
          <w:bCs/>
          <w:szCs w:val="21"/>
        </w:rPr>
        <w:t>单独装箱</w:t>
      </w:r>
      <w:r>
        <w:rPr>
          <w:rFonts w:hint="eastAsia"/>
          <w:snapToGrid w:val="0"/>
          <w:szCs w:val="21"/>
        </w:rPr>
        <w:t>，注明“专用工具”、“仪器仪表”，并标明防潮、防尘、易碎、向上、勿倒置等字样，同主设备一并发运。</w:t>
      </w:r>
    </w:p>
    <w:p w14:paraId="404FE113">
      <w:pPr>
        <w:pStyle w:val="59"/>
        <w:rPr>
          <w:snapToGrid w:val="0"/>
        </w:rPr>
      </w:pPr>
      <w:r>
        <w:rPr>
          <w:rFonts w:hint="eastAsia"/>
          <w:snapToGrid w:val="0"/>
        </w:rPr>
        <w:t>4</w:t>
      </w:r>
      <w:r>
        <w:rPr>
          <w:rFonts w:hint="eastAsia"/>
          <w:snapToGrid w:val="0"/>
          <w:spacing w:val="20"/>
        </w:rPr>
        <w:t>.</w:t>
      </w:r>
      <w:r>
        <w:rPr>
          <w:rFonts w:hint="eastAsia"/>
          <w:snapToGrid w:val="0"/>
        </w:rPr>
        <w:t>9　安装、调试、性能试验、试运行和验收</w:t>
      </w:r>
    </w:p>
    <w:p w14:paraId="57C9DA82">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1　</w:t>
      </w:r>
      <w:r>
        <w:rPr>
          <w:rFonts w:hint="eastAsia"/>
          <w:snapToGrid w:val="0"/>
          <w:szCs w:val="21"/>
        </w:rPr>
        <w:t>合同设备的安装、调试将由招标人根据投标人提供的技术文件和说明书的规定在投标人技术人员指导下进行。</w:t>
      </w:r>
    </w:p>
    <w:p w14:paraId="7CE6109B">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2　</w:t>
      </w:r>
      <w:r>
        <w:rPr>
          <w:rFonts w:hint="eastAsia"/>
          <w:snapToGrid w:val="0"/>
          <w:szCs w:val="21"/>
        </w:rPr>
        <w:t>合同设备的性能试验、试运行和验收根据本部分规定的标准、规程规范进行。</w:t>
      </w:r>
    </w:p>
    <w:p w14:paraId="1028EEB2">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.3</w:t>
      </w:r>
      <w:r>
        <w:rPr>
          <w:rFonts w:hint="eastAsia" w:ascii="EU-F1"/>
          <w:snapToGrid w:val="0"/>
          <w:szCs w:val="21"/>
        </w:rPr>
        <w:t>　</w:t>
      </w:r>
      <w:r>
        <w:rPr>
          <w:rFonts w:hint="eastAsia"/>
          <w:snapToGrid w:val="0"/>
          <w:spacing w:val="-2"/>
          <w:szCs w:val="21"/>
        </w:rPr>
        <w:t>如果安装、调试、性能试验、试运行及质保期内技术指标一项或多项不能满足合同技术部分要求，招投标双方共同分析原因，分清责任，如属制造方面的原因，或涉及索赔部分，按商务部分有关条款执行。</w:t>
      </w:r>
    </w:p>
    <w:p w14:paraId="417C8B92">
      <w:pPr>
        <w:pStyle w:val="60"/>
        <w:outlineLvl w:val="0"/>
      </w:pPr>
      <w:bookmarkStart w:id="7" w:name="_Toc438720045"/>
      <w:r>
        <w:rPr>
          <w:rFonts w:hint="eastAsia"/>
        </w:rPr>
        <w:t>5　技术参数和性能要求</w:t>
      </w:r>
      <w:bookmarkEnd w:id="7"/>
    </w:p>
    <w:p w14:paraId="71C3C3A8">
      <w:pPr>
        <w:pStyle w:val="59"/>
      </w:pPr>
      <w:r>
        <w:rPr>
          <w:rFonts w:hint="eastAsia"/>
        </w:rPr>
        <w:t>5</w:t>
      </w:r>
      <w:r>
        <w:rPr>
          <w:rFonts w:hint="eastAsia"/>
          <w:spacing w:val="20"/>
        </w:rPr>
        <w:t>.</w:t>
      </w:r>
      <w:r>
        <w:rPr>
          <w:rFonts w:hint="eastAsia"/>
        </w:rPr>
        <w:t>1　使用环境</w:t>
      </w:r>
    </w:p>
    <w:p w14:paraId="36811D85">
      <w:pPr>
        <w:ind w:left="840" w:hanging="420"/>
      </w:pPr>
      <w:r>
        <w:t>a</w:t>
      </w:r>
      <w:r>
        <w:rPr>
          <w:rFonts w:hint="eastAsia"/>
        </w:rPr>
        <w:t>）</w:t>
      </w:r>
      <w:r>
        <w:tab/>
      </w:r>
      <w:r>
        <w:rPr>
          <w:rFonts w:hint="eastAsia"/>
        </w:rPr>
        <w:t>海拔高度：≤</w:t>
      </w:r>
      <w:r>
        <w:rPr>
          <w:rFonts w:hint="eastAsia"/>
          <w:lang w:val="en-US" w:eastAsia="zh-CN"/>
        </w:rPr>
        <w:t>2</w:t>
      </w:r>
      <w:r>
        <w:rPr>
          <w:rFonts w:hint="eastAsia"/>
        </w:rPr>
        <w:t>000m。</w:t>
      </w:r>
    </w:p>
    <w:p w14:paraId="6905C322">
      <w:pPr>
        <w:ind w:left="840" w:hanging="420"/>
      </w:pPr>
      <w:r>
        <w:rPr>
          <w:rFonts w:hint="eastAsia"/>
        </w:rPr>
        <w:t>b）</w:t>
      </w:r>
      <w:r>
        <w:tab/>
      </w:r>
      <w:r>
        <w:rPr>
          <w:rFonts w:hint="eastAsia"/>
        </w:rPr>
        <w:t>环境温度：-25℃～+45℃。</w:t>
      </w:r>
    </w:p>
    <w:p w14:paraId="15413575">
      <w:pPr>
        <w:ind w:left="840" w:hanging="420"/>
      </w:pPr>
      <w:r>
        <w:rPr>
          <w:rFonts w:hint="eastAsia"/>
        </w:rPr>
        <w:t>c）</w:t>
      </w:r>
      <w:r>
        <w:tab/>
      </w:r>
      <w:r>
        <w:rPr>
          <w:rFonts w:hint="eastAsia"/>
        </w:rPr>
        <w:t>年平均温度：25℃。</w:t>
      </w:r>
    </w:p>
    <w:p w14:paraId="4D92471F">
      <w:pPr>
        <w:ind w:left="840" w:hanging="420"/>
      </w:pPr>
      <w:r>
        <w:rPr>
          <w:rFonts w:hint="eastAsia"/>
        </w:rPr>
        <w:t>d）</w:t>
      </w:r>
      <w:r>
        <w:tab/>
      </w:r>
      <w:r>
        <w:rPr>
          <w:rFonts w:hint="eastAsia"/>
        </w:rPr>
        <w:t>最大日温差：15℃。</w:t>
      </w:r>
    </w:p>
    <w:p w14:paraId="4C78EEA0">
      <w:pPr>
        <w:ind w:left="840" w:hanging="420"/>
      </w:pPr>
      <w:r>
        <w:rPr>
          <w:rFonts w:hint="eastAsia"/>
        </w:rPr>
        <w:t>e）</w:t>
      </w:r>
      <w:r>
        <w:tab/>
      </w:r>
      <w:r>
        <w:rPr>
          <w:rFonts w:hint="eastAsia"/>
        </w:rPr>
        <w:t>空气相对湿度：日平均相对湿度≤95%，月平均相对湿度≤90%。</w:t>
      </w:r>
    </w:p>
    <w:p w14:paraId="71D9F5CC">
      <w:pPr>
        <w:pStyle w:val="59"/>
      </w:pPr>
      <w:r>
        <w:rPr>
          <w:rFonts w:hint="eastAsia"/>
        </w:rPr>
        <w:t>5</w:t>
      </w:r>
      <w:r>
        <w:rPr>
          <w:rFonts w:hint="eastAsia"/>
          <w:spacing w:val="20"/>
        </w:rPr>
        <w:t>.</w:t>
      </w:r>
      <w:r>
        <w:rPr>
          <w:rFonts w:hint="eastAsia"/>
        </w:rPr>
        <w:t>2　通用要求</w:t>
      </w:r>
    </w:p>
    <w:p w14:paraId="59836451">
      <w:pPr>
        <w:ind w:left="840" w:hanging="420"/>
      </w:pPr>
      <w:r>
        <w:t>a</w:t>
      </w:r>
      <w:r>
        <w:rPr>
          <w:rFonts w:hint="eastAsia"/>
        </w:rPr>
        <w:t>）</w:t>
      </w:r>
      <w:r>
        <w:tab/>
      </w:r>
      <w:r>
        <w:rPr>
          <w:rFonts w:hint="eastAsia"/>
        </w:rPr>
        <w:t>额定工作电压：</w:t>
      </w:r>
      <w:r>
        <w:rPr>
          <w:rFonts w:hint="eastAsia"/>
          <w:lang w:val="en-US" w:eastAsia="zh-CN"/>
        </w:rPr>
        <w:t>AC0.66k</w:t>
      </w:r>
      <w:r>
        <w:t>V</w:t>
      </w:r>
      <w:r>
        <w:rPr>
          <w:rFonts w:hint="eastAsia"/>
          <w:lang w:eastAsia="zh-CN"/>
        </w:rPr>
        <w:t>以下</w:t>
      </w:r>
      <w:r>
        <w:rPr>
          <w:rFonts w:hint="eastAsia"/>
        </w:rPr>
        <w:t>。</w:t>
      </w:r>
    </w:p>
    <w:p w14:paraId="4E070158">
      <w:pPr>
        <w:ind w:left="840" w:hanging="420"/>
      </w:pPr>
      <w:r>
        <w:rPr>
          <w:rFonts w:hint="eastAsia"/>
        </w:rPr>
        <w:t>b）</w:t>
      </w:r>
      <w:r>
        <w:tab/>
      </w:r>
      <w:r>
        <w:rPr>
          <w:rFonts w:hint="eastAsia"/>
        </w:rPr>
        <w:t>额定频率：</w:t>
      </w:r>
      <w:r>
        <w:t>50Hz</w:t>
      </w:r>
      <w:r>
        <w:rPr>
          <w:rFonts w:hint="eastAsia"/>
        </w:rPr>
        <w:t>。</w:t>
      </w:r>
    </w:p>
    <w:p w14:paraId="782D474C">
      <w:pPr>
        <w:pStyle w:val="59"/>
      </w:pPr>
      <w:r>
        <w:rPr>
          <w:rFonts w:hint="eastAsia"/>
        </w:rPr>
        <w:t>5</w:t>
      </w:r>
      <w:r>
        <w:rPr>
          <w:rFonts w:hint="eastAsia"/>
          <w:spacing w:val="20"/>
        </w:rPr>
        <w:t>.3</w:t>
      </w:r>
      <w:r>
        <w:rPr>
          <w:rFonts w:hint="eastAsia"/>
        </w:rPr>
        <w:t>　产品类型</w:t>
      </w:r>
    </w:p>
    <w:p w14:paraId="58530D9A">
      <w:pPr>
        <w:ind w:left="840" w:hanging="420"/>
      </w:pPr>
      <w:r>
        <w:t>a</w:t>
      </w:r>
      <w:r>
        <w:rPr>
          <w:rFonts w:hint="eastAsia"/>
        </w:rPr>
        <w:t>）</w:t>
      </w:r>
      <w:r>
        <w:tab/>
      </w:r>
      <w:r>
        <w:rPr>
          <w:rFonts w:hint="eastAsia"/>
          <w:lang w:eastAsia="zh-CN"/>
        </w:rPr>
        <w:t>电流互感器</w:t>
      </w:r>
    </w:p>
    <w:p w14:paraId="04CB7A8F">
      <w:pPr>
        <w:pStyle w:val="59"/>
        <w:rPr>
          <w:rFonts w:hint="eastAsia"/>
        </w:rPr>
      </w:pPr>
      <w:r>
        <w:rPr>
          <w:rFonts w:hint="eastAsia"/>
        </w:rPr>
        <w:t>5</w:t>
      </w:r>
      <w:r>
        <w:rPr>
          <w:rFonts w:hint="eastAsia"/>
          <w:spacing w:val="20"/>
        </w:rPr>
        <w:t>.</w:t>
      </w:r>
      <w:r>
        <w:rPr>
          <w:rFonts w:hint="eastAsia"/>
        </w:rPr>
        <w:t>4</w:t>
      </w:r>
      <w:r>
        <w:rPr>
          <w:rFonts w:hint="eastAsia"/>
          <w:lang w:val="en-US" w:eastAsia="zh-CN"/>
        </w:rPr>
        <w:t xml:space="preserve">  </w:t>
      </w:r>
      <w:r>
        <w:rPr>
          <w:rFonts w:hint="eastAsia"/>
        </w:rPr>
        <w:t>技术要求</w:t>
      </w:r>
    </w:p>
    <w:p w14:paraId="3D4885E7">
      <w:pPr>
        <w:autoSpaceDE w:val="0"/>
        <w:autoSpaceDN w:val="0"/>
        <w:adjustRightInd w:val="0"/>
        <w:snapToGrid w:val="0"/>
        <w:spacing w:line="360" w:lineRule="auto"/>
        <w:ind w:firstLine="420" w:firstLineChars="200"/>
        <w:jc w:val="left"/>
        <w:textAlignment w:val="baseline"/>
        <w:outlineLvl w:val="1"/>
        <w:rPr>
          <w:rFonts w:hint="eastAsia"/>
          <w:lang w:val="en-US" w:eastAsia="zh-CN"/>
        </w:rPr>
      </w:pPr>
      <w:r>
        <w:rPr>
          <w:rFonts w:hint="eastAsia"/>
          <w:lang w:val="en-US" w:eastAsia="zh-CN"/>
        </w:rPr>
        <w:t xml:space="preserve">a)  额定一次电流标准值的选择 </w:t>
      </w:r>
    </w:p>
    <w:p w14:paraId="7AB4E1FE">
      <w:pPr>
        <w:autoSpaceDE w:val="0"/>
        <w:autoSpaceDN w:val="0"/>
        <w:adjustRightInd w:val="0"/>
        <w:snapToGrid w:val="0"/>
        <w:spacing w:line="360" w:lineRule="auto"/>
        <w:ind w:firstLine="420" w:firstLineChars="200"/>
        <w:jc w:val="left"/>
        <w:textAlignment w:val="baseline"/>
        <w:outlineLvl w:val="1"/>
        <w:rPr>
          <w:rFonts w:hint="eastAsia"/>
          <w:lang w:val="en-US" w:eastAsia="zh-CN"/>
        </w:rPr>
      </w:pPr>
      <w:r>
        <w:rPr>
          <w:rFonts w:hint="eastAsia"/>
          <w:lang w:val="en-US" w:eastAsia="zh-CN"/>
        </w:rPr>
        <w:t xml:space="preserve"> 额定一次电流标准值宜在下述范围内进行选择：</w:t>
      </w:r>
    </w:p>
    <w:p w14:paraId="490A1947">
      <w:pPr>
        <w:autoSpaceDE w:val="0"/>
        <w:autoSpaceDN w:val="0"/>
        <w:adjustRightInd w:val="0"/>
        <w:snapToGrid w:val="0"/>
        <w:spacing w:line="360" w:lineRule="auto"/>
        <w:ind w:firstLine="420" w:firstLineChars="200"/>
        <w:jc w:val="left"/>
        <w:textAlignment w:val="baseline"/>
        <w:outlineLvl w:val="1"/>
        <w:rPr>
          <w:rFonts w:hint="eastAsia"/>
          <w:lang w:val="en-US" w:eastAsia="zh-CN"/>
        </w:rPr>
      </w:pPr>
      <w:r>
        <w:rPr>
          <w:rFonts w:hint="eastAsia"/>
          <w:lang w:val="en-US" w:eastAsia="zh-CN"/>
        </w:rPr>
        <w:t xml:space="preserve">  5A、10A、15A、20A、25A、30A、40A、50A、75A、100A、150A、200A、250A、300A、400A、500A、600A、800A、1000A、1200A、1500A、2000A、2500A、3000A、4000A、5000A。 </w:t>
      </w:r>
    </w:p>
    <w:p w14:paraId="5703FD23">
      <w:pPr>
        <w:autoSpaceDE w:val="0"/>
        <w:autoSpaceDN w:val="0"/>
        <w:adjustRightInd w:val="0"/>
        <w:snapToGrid w:val="0"/>
        <w:spacing w:line="360" w:lineRule="auto"/>
        <w:ind w:firstLine="420" w:firstLineChars="200"/>
        <w:jc w:val="left"/>
        <w:textAlignment w:val="baseline"/>
        <w:outlineLvl w:val="1"/>
        <w:rPr>
          <w:rFonts w:hint="eastAsia"/>
          <w:lang w:val="en-US" w:eastAsia="zh-CN"/>
        </w:rPr>
      </w:pPr>
      <w:r>
        <w:rPr>
          <w:rFonts w:hint="eastAsia"/>
          <w:lang w:val="en-US" w:eastAsia="zh-CN"/>
        </w:rPr>
        <w:t xml:space="preserve">b） 额定二次电流标准值： 5A  </w:t>
      </w:r>
    </w:p>
    <w:p w14:paraId="77DDF06E">
      <w:pPr>
        <w:autoSpaceDE w:val="0"/>
        <w:autoSpaceDN w:val="0"/>
        <w:adjustRightInd w:val="0"/>
        <w:snapToGrid w:val="0"/>
        <w:spacing w:line="360" w:lineRule="auto"/>
        <w:ind w:firstLine="420" w:firstLineChars="200"/>
        <w:jc w:val="left"/>
        <w:textAlignment w:val="baseline"/>
        <w:outlineLvl w:val="1"/>
        <w:rPr>
          <w:rFonts w:hint="eastAsia"/>
          <w:lang w:val="en-US" w:eastAsia="zh-CN"/>
        </w:rPr>
      </w:pPr>
      <w:r>
        <w:rPr>
          <w:rFonts w:hint="eastAsia"/>
          <w:lang w:val="en-US" w:eastAsia="zh-CN"/>
        </w:rPr>
        <w:t>c） 准确度等级：  0.2S级、0.2级、0.5级、0.5S级</w:t>
      </w:r>
    </w:p>
    <w:p w14:paraId="324EFC6E">
      <w:pPr>
        <w:autoSpaceDE w:val="0"/>
        <w:autoSpaceDN w:val="0"/>
        <w:adjustRightInd w:val="0"/>
        <w:snapToGrid w:val="0"/>
        <w:spacing w:line="360" w:lineRule="auto"/>
        <w:ind w:firstLine="420" w:firstLineChars="200"/>
        <w:jc w:val="left"/>
        <w:textAlignment w:val="baseline"/>
        <w:outlineLvl w:val="1"/>
        <w:rPr>
          <w:rFonts w:hint="eastAsia"/>
          <w:lang w:val="en-US" w:eastAsia="zh-CN"/>
        </w:rPr>
      </w:pPr>
      <w:r>
        <w:rPr>
          <w:rFonts w:hint="eastAsia"/>
          <w:lang w:val="en-US" w:eastAsia="zh-CN"/>
        </w:rPr>
        <w:t xml:space="preserve">d） 额定二次负荷  10VA、20VA、40VA </w:t>
      </w:r>
    </w:p>
    <w:p w14:paraId="12DA289F">
      <w:pPr>
        <w:autoSpaceDE w:val="0"/>
        <w:autoSpaceDN w:val="0"/>
        <w:adjustRightInd w:val="0"/>
        <w:snapToGrid w:val="0"/>
        <w:spacing w:line="360" w:lineRule="auto"/>
        <w:ind w:firstLine="420" w:firstLineChars="200"/>
        <w:jc w:val="left"/>
        <w:textAlignment w:val="baseline"/>
        <w:outlineLvl w:val="1"/>
        <w:rPr>
          <w:rFonts w:hint="eastAsia"/>
          <w:lang w:val="en-US" w:eastAsia="zh-CN"/>
        </w:rPr>
      </w:pPr>
      <w:r>
        <w:rPr>
          <w:rFonts w:hint="eastAsia"/>
          <w:lang w:val="en-US" w:eastAsia="zh-CN"/>
        </w:rPr>
        <w:t xml:space="preserve">e） 动热稳定要求  应符合GB1208和DL/T725的有关规定。 </w:t>
      </w:r>
    </w:p>
    <w:p w14:paraId="23D824AC">
      <w:pPr>
        <w:autoSpaceDE w:val="0"/>
        <w:autoSpaceDN w:val="0"/>
        <w:adjustRightInd w:val="0"/>
        <w:snapToGrid w:val="0"/>
        <w:spacing w:line="360" w:lineRule="auto"/>
        <w:ind w:firstLine="420" w:firstLineChars="200"/>
        <w:jc w:val="left"/>
        <w:textAlignment w:val="baseline"/>
        <w:outlineLvl w:val="1"/>
        <w:rPr>
          <w:rFonts w:hint="eastAsia"/>
          <w:lang w:val="en-US" w:eastAsia="zh-CN"/>
        </w:rPr>
      </w:pPr>
      <w:r>
        <w:rPr>
          <w:rFonts w:hint="eastAsia"/>
          <w:lang w:val="en-US" w:eastAsia="zh-CN"/>
        </w:rPr>
        <w:t>f）  绝缘要求  应符合GB1208和DL/T725的有关规定。</w:t>
      </w:r>
    </w:p>
    <w:p w14:paraId="2CB34E5E">
      <w:pPr>
        <w:autoSpaceDE w:val="0"/>
        <w:autoSpaceDN w:val="0"/>
        <w:adjustRightInd w:val="0"/>
        <w:snapToGrid w:val="0"/>
        <w:spacing w:line="360" w:lineRule="auto"/>
        <w:ind w:firstLine="420" w:firstLineChars="200"/>
        <w:jc w:val="left"/>
        <w:textAlignment w:val="baseline"/>
        <w:outlineLvl w:val="1"/>
        <w:rPr>
          <w:rFonts w:hint="eastAsia"/>
          <w:lang w:val="en-US" w:eastAsia="zh-CN"/>
        </w:rPr>
      </w:pPr>
      <w:r>
        <w:rPr>
          <w:rFonts w:hint="eastAsia"/>
          <w:lang w:val="en-US" w:eastAsia="zh-CN"/>
        </w:rPr>
        <w:t xml:space="preserve">g） 互感器检定误差控制  </w:t>
      </w:r>
    </w:p>
    <w:p w14:paraId="429D1E66">
      <w:pPr>
        <w:autoSpaceDE w:val="0"/>
        <w:autoSpaceDN w:val="0"/>
        <w:adjustRightInd w:val="0"/>
        <w:snapToGrid w:val="0"/>
        <w:spacing w:line="360" w:lineRule="auto"/>
        <w:ind w:firstLine="420" w:firstLineChars="200"/>
        <w:jc w:val="left"/>
        <w:textAlignment w:val="baseline"/>
        <w:outlineLvl w:val="1"/>
        <w:rPr>
          <w:rFonts w:hint="eastAsia"/>
          <w:lang w:val="en-US" w:eastAsia="zh-CN"/>
        </w:rPr>
      </w:pPr>
      <w:r>
        <w:rPr>
          <w:rFonts w:hint="eastAsia"/>
          <w:lang w:val="en-US" w:eastAsia="zh-CN"/>
        </w:rPr>
        <w:t xml:space="preserve">电流互感器二次计量绕组在接额定负荷和1/4额定负荷时，其检定误差应不大于JJG313规定误差限值的60%。对于电流互感器额定一次电流值小于1200A规格时，在200%额定一次电流标准值时的比值差和相位差应不超过120%额定一次电流下JJG313规定的限值。 二次绕组输出电流波形失真度不大于1%。 </w:t>
      </w:r>
    </w:p>
    <w:p w14:paraId="6C614EBF">
      <w:pPr>
        <w:autoSpaceDE w:val="0"/>
        <w:autoSpaceDN w:val="0"/>
        <w:adjustRightInd w:val="0"/>
        <w:snapToGrid w:val="0"/>
        <w:spacing w:line="360" w:lineRule="auto"/>
        <w:ind w:firstLine="420" w:firstLineChars="200"/>
        <w:jc w:val="left"/>
        <w:textAlignment w:val="baseline"/>
        <w:outlineLvl w:val="1"/>
        <w:rPr>
          <w:rFonts w:hint="eastAsia"/>
          <w:lang w:val="en-US" w:eastAsia="zh-CN"/>
        </w:rPr>
      </w:pPr>
      <w:r>
        <w:rPr>
          <w:rFonts w:hint="eastAsia"/>
          <w:lang w:val="en-US" w:eastAsia="zh-CN"/>
        </w:rPr>
        <w:t xml:space="preserve">h） 检定互感器误差时二次负荷范围  互感器（计量绕组）应在25％～100％额定负荷下检测基本误差；额定二次电流为5A的电流互感器最低下限负荷为2.5VA。 </w:t>
      </w:r>
    </w:p>
    <w:p w14:paraId="292055B5">
      <w:pPr>
        <w:autoSpaceDE w:val="0"/>
        <w:autoSpaceDN w:val="0"/>
        <w:adjustRightInd w:val="0"/>
        <w:snapToGrid w:val="0"/>
        <w:spacing w:line="360" w:lineRule="auto"/>
        <w:ind w:firstLine="420" w:firstLineChars="200"/>
        <w:jc w:val="left"/>
        <w:textAlignment w:val="baseline"/>
        <w:outlineLvl w:val="1"/>
        <w:rPr>
          <w:rFonts w:hint="eastAsia"/>
          <w:lang w:val="en-US" w:eastAsia="zh-CN"/>
        </w:rPr>
      </w:pPr>
      <w:r>
        <w:rPr>
          <w:rFonts w:hint="eastAsia"/>
          <w:lang w:val="en-US" w:eastAsia="zh-CN"/>
        </w:rPr>
        <w:t xml:space="preserve">i）  检定电流互感器误差时剩磁的影响  在电流互感器充磁和退磁两种情况下，剩磁影响不得大于误差限值的三分之一。 </w:t>
      </w:r>
    </w:p>
    <w:p w14:paraId="547B47B0">
      <w:pPr>
        <w:autoSpaceDE w:val="0"/>
        <w:autoSpaceDN w:val="0"/>
        <w:adjustRightInd w:val="0"/>
        <w:snapToGrid w:val="0"/>
        <w:spacing w:line="360" w:lineRule="auto"/>
        <w:ind w:firstLine="420" w:firstLineChars="200"/>
        <w:jc w:val="left"/>
        <w:textAlignment w:val="baseline"/>
        <w:outlineLvl w:val="1"/>
        <w:rPr>
          <w:rFonts w:hint="eastAsia"/>
          <w:lang w:val="en-US" w:eastAsia="zh-CN"/>
        </w:rPr>
      </w:pPr>
      <w:r>
        <w:rPr>
          <w:rFonts w:hint="eastAsia"/>
          <w:lang w:val="en-US" w:eastAsia="zh-CN"/>
        </w:rPr>
        <w:t xml:space="preserve">j）  在高于下限使用温度5K和上限温度的情况下，施加50％额定电流120min，两种情况和常温条件情况的误差变化量不得大于误差限值的三分之一。误差测量时间不大于2min。 </w:t>
      </w:r>
    </w:p>
    <w:p w14:paraId="56E7CAC3">
      <w:pPr>
        <w:autoSpaceDE w:val="0"/>
        <w:autoSpaceDN w:val="0"/>
        <w:adjustRightInd w:val="0"/>
        <w:snapToGrid w:val="0"/>
        <w:spacing w:line="360" w:lineRule="auto"/>
        <w:ind w:firstLine="420" w:firstLineChars="200"/>
        <w:jc w:val="left"/>
        <w:textAlignment w:val="baseline"/>
        <w:outlineLvl w:val="1"/>
        <w:rPr>
          <w:rFonts w:hint="eastAsia"/>
          <w:lang w:val="en-US" w:eastAsia="zh-CN"/>
        </w:rPr>
      </w:pPr>
      <w:r>
        <w:rPr>
          <w:rFonts w:hint="eastAsia"/>
          <w:lang w:val="en-US" w:eastAsia="zh-CN"/>
        </w:rPr>
        <w:t>k）  试验应符合GB1208和DL/T725的有关规定。</w:t>
      </w:r>
    </w:p>
    <w:p w14:paraId="65C7CB12">
      <w:pPr>
        <w:ind w:left="840" w:hanging="420"/>
      </w:pPr>
      <w:bookmarkStart w:id="8" w:name="_Toc327986882"/>
      <w:r>
        <w:rPr>
          <w:rFonts w:hint="eastAsia"/>
        </w:rPr>
        <w:t>　</w:t>
      </w:r>
      <w:bookmarkEnd w:id="8"/>
    </w:p>
    <w:p w14:paraId="53958110">
      <w:pPr>
        <w:pStyle w:val="59"/>
        <w:rPr>
          <w:rFonts w:hint="eastAsia"/>
        </w:rPr>
      </w:pPr>
      <w:bookmarkStart w:id="9" w:name="_Toc358552375"/>
      <w:bookmarkStart w:id="10" w:name="_Toc358552337"/>
      <w:bookmarkStart w:id="11" w:name="_Toc363381650"/>
      <w:bookmarkStart w:id="12" w:name="_Toc363387107"/>
      <w:bookmarkStart w:id="13" w:name="_Toc363243289"/>
      <w:r>
        <w:rPr>
          <w:rFonts w:hint="eastAsia"/>
        </w:rPr>
        <w:t>5.5外观结构</w:t>
      </w:r>
    </w:p>
    <w:p w14:paraId="5A9CF6BB">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lang w:val="en-US" w:eastAsia="zh-CN"/>
        </w:rPr>
      </w:pPr>
      <w:r>
        <w:rPr>
          <w:rFonts w:hint="eastAsia"/>
          <w:lang w:val="en-US" w:eastAsia="zh-CN"/>
        </w:rPr>
        <w:t>外观工艺良好，无明显质量瑕疵；变比和等级参数必须在互感器表面铸出；二次端子应具备端子盒并能铅封；可采用一次性防拆封闭性结构设计；二次接线柱必须用铜制螺钉、螺母，且大小、长度适中；一、二次绕组之间的极性应为减极性；一、二次接线端子标志要正确、清晰，方位一致；铭牌用铆钉固定牢固，铭牌上参数应正确、清晰。</w:t>
      </w:r>
    </w:p>
    <w:p w14:paraId="42C3AB40">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rPr>
      </w:pPr>
      <w:r>
        <w:rPr>
          <w:rFonts w:hint="eastAsia"/>
          <w:lang w:val="en-US" w:eastAsia="zh-CN"/>
        </w:rPr>
        <w:t>绝缘要求，一次（或绝缘外壳）对地、二次对地应能承受3kV的短时工频耐压；二次绕组对地的绝缘电阻应不小于100MΩ</w:t>
      </w:r>
    </w:p>
    <w:p w14:paraId="3B1083F5">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rPr>
      </w:pPr>
      <w:r>
        <w:rPr>
          <w:rFonts w:hint="eastAsia"/>
          <w:lang w:val="en-US" w:eastAsia="zh-CN"/>
        </w:rPr>
        <w:t>标志，用字母P1、P2表示一次绕组出线端子，用字母S1、S2表示二次绕组出线端子，额定变比必须固化在互感器的环氧树脂（或塑胶）壳体上，标志字母清晰，不脱落。</w:t>
      </w:r>
    </w:p>
    <w:p w14:paraId="4A9D3363">
      <w:pPr>
        <w:pStyle w:val="59"/>
      </w:pPr>
      <w:r>
        <w:t>5.</w:t>
      </w:r>
      <w:r>
        <w:rPr>
          <w:rFonts w:hint="eastAsia"/>
        </w:rPr>
        <w:t>6　标志、包装、运输</w:t>
      </w:r>
      <w:bookmarkEnd w:id="9"/>
      <w:bookmarkEnd w:id="10"/>
      <w:r>
        <w:rPr>
          <w:rFonts w:hint="eastAsia"/>
        </w:rPr>
        <w:t>、贮存</w:t>
      </w:r>
      <w:bookmarkEnd w:id="11"/>
      <w:bookmarkEnd w:id="12"/>
      <w:bookmarkEnd w:id="13"/>
      <w:r>
        <w:rPr>
          <w:rFonts w:hint="eastAsia"/>
        </w:rPr>
        <w:t>及铭牌</w:t>
      </w:r>
    </w:p>
    <w:p w14:paraId="02A55211">
      <w:pPr>
        <w:pStyle w:val="59"/>
      </w:pPr>
      <w:bookmarkStart w:id="14" w:name="_Toc363381651"/>
      <w:bookmarkStart w:id="15" w:name="_Toc363243290"/>
      <w:r>
        <w:t>5.</w:t>
      </w:r>
      <w:r>
        <w:rPr>
          <w:rFonts w:hint="eastAsia"/>
        </w:rPr>
        <w:t>6</w:t>
      </w:r>
      <w:r>
        <w:t>.1</w:t>
      </w:r>
      <w:r>
        <w:rPr>
          <w:rFonts w:hint="eastAsia"/>
        </w:rPr>
        <w:t>标志</w:t>
      </w:r>
      <w:bookmarkEnd w:id="14"/>
      <w:bookmarkEnd w:id="15"/>
    </w:p>
    <w:p w14:paraId="3F04FD52">
      <w:pPr>
        <w:topLinePunct/>
        <w:spacing w:line="312" w:lineRule="exact"/>
        <w:ind w:firstLine="420"/>
        <w:rPr>
          <w:szCs w:val="21"/>
        </w:rPr>
      </w:pPr>
      <w:r>
        <w:rPr>
          <w:rFonts w:hint="eastAsia"/>
          <w:szCs w:val="21"/>
        </w:rPr>
        <w:t>投标人应对货物包装进行完善的标志，以便招标人接收货物；投标人应妥善考虑货物的包装、运输，招标人在接收货物时会进行货物包装、元件外观的进厂检验、且为完全检验，因包装、运输不完善造成的元件损伤，招标方有权要求投标方进行无条件更换。</w:t>
      </w:r>
    </w:p>
    <w:p w14:paraId="3E14D021">
      <w:pPr>
        <w:pStyle w:val="59"/>
      </w:pPr>
      <w:bookmarkStart w:id="16" w:name="_Toc358552339"/>
      <w:bookmarkStart w:id="17" w:name="_Toc363243291"/>
      <w:bookmarkStart w:id="18" w:name="_Toc358552377"/>
      <w:bookmarkStart w:id="19" w:name="_Toc363381652"/>
      <w:r>
        <w:t>5.</w:t>
      </w:r>
      <w:r>
        <w:rPr>
          <w:rFonts w:hint="eastAsia"/>
        </w:rPr>
        <w:t>6</w:t>
      </w:r>
      <w:r>
        <w:t>.2</w:t>
      </w:r>
      <w:r>
        <w:rPr>
          <w:rFonts w:hint="eastAsia"/>
        </w:rPr>
        <w:t>铭牌</w:t>
      </w:r>
      <w:bookmarkEnd w:id="16"/>
      <w:bookmarkEnd w:id="17"/>
      <w:bookmarkEnd w:id="18"/>
      <w:bookmarkEnd w:id="19"/>
    </w:p>
    <w:p w14:paraId="6F5C664C">
      <w:pPr>
        <w:topLinePunct/>
        <w:spacing w:line="312" w:lineRule="exact"/>
        <w:ind w:firstLine="420"/>
        <w:rPr>
          <w:szCs w:val="21"/>
        </w:rPr>
      </w:pPr>
      <w:r>
        <w:rPr>
          <w:rFonts w:hint="eastAsia"/>
          <w:szCs w:val="21"/>
        </w:rPr>
        <w:t>每台装置应配备铭牌，铭牌应字迹清晰，安装应坚固、耐久，其位置应该是在装置安装好后，易于看见的地方。</w:t>
      </w:r>
    </w:p>
    <w:p w14:paraId="5C7A7CEF">
      <w:pPr>
        <w:topLinePunct/>
        <w:spacing w:line="312" w:lineRule="exact"/>
        <w:ind w:firstLine="420"/>
        <w:rPr>
          <w:szCs w:val="21"/>
        </w:rPr>
      </w:pPr>
      <w:r>
        <w:rPr>
          <w:szCs w:val="21"/>
        </w:rPr>
        <w:t>a)</w:t>
      </w:r>
      <w:r>
        <w:rPr>
          <w:rFonts w:hint="eastAsia"/>
          <w:szCs w:val="21"/>
        </w:rPr>
        <w:t>制造商（生产厂）或商标；</w:t>
      </w:r>
    </w:p>
    <w:p w14:paraId="0BFC78E6">
      <w:pPr>
        <w:topLinePunct/>
        <w:spacing w:line="312" w:lineRule="exact"/>
        <w:ind w:firstLine="420"/>
        <w:rPr>
          <w:szCs w:val="21"/>
        </w:rPr>
      </w:pPr>
      <w:r>
        <w:rPr>
          <w:szCs w:val="21"/>
        </w:rPr>
        <w:t>b)</w:t>
      </w:r>
      <w:r>
        <w:rPr>
          <w:rFonts w:hint="eastAsia"/>
          <w:szCs w:val="21"/>
        </w:rPr>
        <w:t>型号或其他标记，据此可以从制造商得到有关的资料；</w:t>
      </w:r>
    </w:p>
    <w:p w14:paraId="14B9FC3F">
      <w:pPr>
        <w:topLinePunct/>
        <w:spacing w:line="312" w:lineRule="exact"/>
        <w:ind w:firstLine="420"/>
        <w:rPr>
          <w:szCs w:val="21"/>
        </w:rPr>
      </w:pPr>
      <w:r>
        <w:rPr>
          <w:szCs w:val="21"/>
        </w:rPr>
        <w:t>c)</w:t>
      </w:r>
      <w:r>
        <w:rPr>
          <w:rFonts w:hint="eastAsia"/>
          <w:szCs w:val="21"/>
        </w:rPr>
        <w:t>执行标准；</w:t>
      </w:r>
    </w:p>
    <w:p w14:paraId="70F87BCE">
      <w:pPr>
        <w:topLinePunct/>
        <w:spacing w:line="312" w:lineRule="exact"/>
        <w:ind w:firstLine="420"/>
        <w:rPr>
          <w:szCs w:val="21"/>
        </w:rPr>
      </w:pPr>
      <w:r>
        <w:rPr>
          <w:szCs w:val="21"/>
        </w:rPr>
        <w:t>d)</w:t>
      </w:r>
      <w:r>
        <w:rPr>
          <w:rFonts w:hint="eastAsia"/>
          <w:szCs w:val="21"/>
        </w:rPr>
        <w:t>制造日期</w:t>
      </w:r>
      <w:r>
        <w:rPr>
          <w:rFonts w:hint="eastAsia"/>
          <w:szCs w:val="21"/>
          <w:lang w:eastAsia="zh-CN"/>
        </w:rPr>
        <w:t>；</w:t>
      </w:r>
    </w:p>
    <w:p w14:paraId="36BB4619">
      <w:pPr>
        <w:topLinePunct/>
        <w:spacing w:line="312" w:lineRule="exact"/>
        <w:ind w:firstLine="420"/>
        <w:rPr>
          <w:szCs w:val="21"/>
        </w:rPr>
      </w:pPr>
      <w:r>
        <w:rPr>
          <w:szCs w:val="21"/>
        </w:rPr>
        <w:t>e)</w:t>
      </w:r>
      <w:r>
        <w:rPr>
          <w:rFonts w:hint="eastAsia"/>
          <w:szCs w:val="21"/>
        </w:rPr>
        <w:t>出厂编号；</w:t>
      </w:r>
    </w:p>
    <w:p w14:paraId="63C6B383">
      <w:pPr>
        <w:topLinePunct/>
        <w:spacing w:line="312" w:lineRule="exact"/>
        <w:ind w:firstLine="420"/>
        <w:rPr>
          <w:szCs w:val="21"/>
        </w:rPr>
      </w:pPr>
      <w:r>
        <w:rPr>
          <w:szCs w:val="21"/>
        </w:rPr>
        <w:t>f)</w:t>
      </w:r>
      <w:r>
        <w:rPr>
          <w:rFonts w:hint="eastAsia"/>
          <w:szCs w:val="21"/>
          <w:lang w:eastAsia="zh-CN"/>
        </w:rPr>
        <w:t>准确度等级</w:t>
      </w:r>
      <w:r>
        <w:rPr>
          <w:rFonts w:hint="eastAsia"/>
          <w:szCs w:val="21"/>
        </w:rPr>
        <w:t>；</w:t>
      </w:r>
    </w:p>
    <w:p w14:paraId="266355D1">
      <w:pPr>
        <w:topLinePunct/>
        <w:spacing w:line="312" w:lineRule="exact"/>
        <w:ind w:firstLine="420"/>
        <w:rPr>
          <w:szCs w:val="21"/>
        </w:rPr>
      </w:pPr>
      <w:r>
        <w:rPr>
          <w:szCs w:val="21"/>
        </w:rPr>
        <w:t>g)</w:t>
      </w:r>
      <w:r>
        <w:rPr>
          <w:rFonts w:hint="eastAsia"/>
          <w:szCs w:val="21"/>
        </w:rPr>
        <w:t>额定</w:t>
      </w:r>
      <w:r>
        <w:rPr>
          <w:rFonts w:hint="eastAsia"/>
          <w:szCs w:val="21"/>
          <w:lang w:eastAsia="zh-CN"/>
        </w:rPr>
        <w:t>变比</w:t>
      </w:r>
      <w:r>
        <w:rPr>
          <w:szCs w:val="21"/>
        </w:rPr>
        <w:t>;</w:t>
      </w:r>
    </w:p>
    <w:p w14:paraId="65AC1DDD">
      <w:pPr>
        <w:topLinePunct/>
        <w:spacing w:line="312" w:lineRule="exact"/>
        <w:ind w:firstLine="420"/>
        <w:rPr>
          <w:szCs w:val="21"/>
        </w:rPr>
      </w:pPr>
      <w:r>
        <w:rPr>
          <w:szCs w:val="21"/>
        </w:rPr>
        <w:t>h)</w:t>
      </w:r>
      <w:r>
        <w:rPr>
          <w:rFonts w:hint="eastAsia"/>
          <w:szCs w:val="21"/>
        </w:rPr>
        <w:t>额定</w:t>
      </w:r>
      <w:r>
        <w:rPr>
          <w:rFonts w:hint="eastAsia"/>
          <w:szCs w:val="21"/>
          <w:lang w:eastAsia="zh-CN"/>
        </w:rPr>
        <w:t>绝缘水平</w:t>
      </w:r>
      <w:r>
        <w:rPr>
          <w:rFonts w:hint="eastAsia"/>
          <w:szCs w:val="21"/>
        </w:rPr>
        <w:t>；</w:t>
      </w:r>
    </w:p>
    <w:p w14:paraId="57E1D7F7">
      <w:pPr>
        <w:pStyle w:val="60"/>
        <w:outlineLvl w:val="0"/>
      </w:pPr>
      <w:bookmarkStart w:id="20" w:name="_Toc438720046"/>
      <w:r>
        <w:rPr>
          <w:rFonts w:hint="eastAsia"/>
        </w:rPr>
        <w:t>6　试验</w:t>
      </w:r>
      <w:bookmarkEnd w:id="20"/>
    </w:p>
    <w:p w14:paraId="38E4858D">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267FE3B6">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51740BBE">
      <w:pPr>
        <w:topLinePunct/>
        <w:spacing w:line="312" w:lineRule="exact"/>
        <w:rPr>
          <w:snapToGrid w:val="0"/>
          <w:szCs w:val="21"/>
        </w:rPr>
      </w:pPr>
      <w:r>
        <w:rPr>
          <w:rFonts w:hint="eastAsia" w:ascii="EU-F1" w:eastAsia="黑体"/>
          <w:szCs w:val="21"/>
        </w:rPr>
        <w:t xml:space="preserve">6.3 </w:t>
      </w:r>
      <w:r>
        <w:rPr>
          <w:snapToGrid w:val="0"/>
          <w:szCs w:val="21"/>
        </w:rPr>
        <w:t xml:space="preserve"> </w:t>
      </w:r>
      <w:r>
        <w:rPr>
          <w:rFonts w:hint="eastAsia"/>
          <w:bCs/>
          <w:szCs w:val="21"/>
        </w:rPr>
        <w:t>抽检试验由招标方委托第三方检验机构如电力工业电力设备及仪表质量检验测试中心配电系统设备及中低压电器质检站完成。</w:t>
      </w:r>
    </w:p>
    <w:p w14:paraId="0D2A86E8">
      <w:pPr>
        <w:pStyle w:val="59"/>
      </w:pPr>
      <w:r>
        <w:rPr>
          <w:rFonts w:hint="eastAsia"/>
        </w:rPr>
        <w:t>6</w:t>
      </w:r>
      <w:r>
        <w:rPr>
          <w:rFonts w:hint="eastAsia"/>
          <w:spacing w:val="20"/>
        </w:rPr>
        <w:t>.</w:t>
      </w:r>
      <w:r>
        <w:rPr>
          <w:rFonts w:hint="eastAsia"/>
          <w:lang w:val="en-US" w:eastAsia="zh-CN"/>
        </w:rPr>
        <w:t>4</w:t>
      </w:r>
      <w:r>
        <w:rPr>
          <w:rFonts w:hint="eastAsia"/>
        </w:rPr>
        <w:t>　出厂试验</w:t>
      </w:r>
    </w:p>
    <w:p w14:paraId="495CB478">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lang w:val="en-US" w:eastAsia="zh-CN"/>
        </w:rPr>
        <w:t>4</w:t>
      </w:r>
      <w:r>
        <w:rPr>
          <w:rFonts w:hint="eastAsia" w:ascii="EU-F1"/>
          <w:snapToGrid w:val="0"/>
          <w:spacing w:val="20"/>
          <w:szCs w:val="21"/>
        </w:rPr>
        <w:t>.</w:t>
      </w:r>
      <w:r>
        <w:rPr>
          <w:rFonts w:hint="eastAsia" w:ascii="EU-F1"/>
          <w:snapToGrid w:val="0"/>
          <w:szCs w:val="21"/>
        </w:rPr>
        <w:t>1　</w:t>
      </w:r>
      <w:r>
        <w:rPr>
          <w:rFonts w:hint="eastAsia"/>
          <w:snapToGrid w:val="0"/>
          <w:szCs w:val="21"/>
        </w:rPr>
        <w:t>每一台产品在出厂时都应进行出厂试验，均应按相应的标准通过出厂试验。</w:t>
      </w:r>
    </w:p>
    <w:p w14:paraId="021B6306">
      <w:pPr>
        <w:pStyle w:val="59"/>
        <w:rPr>
          <w:rFonts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lang w:val="en-US" w:eastAsia="zh-CN"/>
        </w:rPr>
        <w:t>5</w:t>
      </w:r>
      <w:r>
        <w:rPr>
          <w:rFonts w:hint="eastAsia" w:ascii="黑体" w:hAnsi="黑体"/>
          <w:snapToGrid w:val="0"/>
        </w:rPr>
        <w:t>　抽检试验</w:t>
      </w:r>
    </w:p>
    <w:p w14:paraId="6D657A81">
      <w:pPr>
        <w:topLinePunct/>
        <w:spacing w:line="312" w:lineRule="exact"/>
      </w:pPr>
      <w:r>
        <w:rPr>
          <w:rFonts w:hint="eastAsia" w:ascii="黑体" w:hAnsi="黑体" w:eastAsia="黑体"/>
          <w:snapToGrid w:val="0"/>
          <w:color w:val="000000"/>
          <w:kern w:val="44"/>
          <w:szCs w:val="21"/>
        </w:rPr>
        <w:t>6.</w:t>
      </w:r>
      <w:r>
        <w:rPr>
          <w:rFonts w:hint="eastAsia" w:ascii="黑体" w:hAnsi="黑体" w:eastAsia="黑体"/>
          <w:snapToGrid w:val="0"/>
          <w:color w:val="000000"/>
          <w:kern w:val="44"/>
          <w:szCs w:val="21"/>
          <w:lang w:val="en-US" w:eastAsia="zh-CN"/>
        </w:rPr>
        <w:t>5</w:t>
      </w:r>
      <w:r>
        <w:rPr>
          <w:rFonts w:hint="eastAsia" w:ascii="黑体" w:hAnsi="黑体" w:eastAsia="黑体"/>
          <w:snapToGrid w:val="0"/>
          <w:color w:val="000000"/>
          <w:kern w:val="44"/>
          <w:szCs w:val="21"/>
        </w:rPr>
        <w:t>.1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电力工业电力设备及仪表质量检验测试中心配电系统设备及中低压电器质检站）进行检测，检测方将检测结果报采购方审核确定，检测费用由投标人承担。</w:t>
      </w:r>
      <w:r>
        <w:rPr>
          <w:rFonts w:hint="eastAsia" w:ascii="黑体" w:hAnsi="黑体" w:eastAsia="黑体"/>
          <w:snapToGrid w:val="0"/>
          <w:color w:val="000000"/>
          <w:kern w:val="44"/>
          <w:szCs w:val="21"/>
        </w:rPr>
        <w:t>6.</w:t>
      </w:r>
      <w:r>
        <w:rPr>
          <w:rFonts w:hint="eastAsia" w:ascii="黑体" w:hAnsi="黑体" w:eastAsia="黑体"/>
          <w:snapToGrid w:val="0"/>
          <w:color w:val="000000"/>
          <w:kern w:val="44"/>
          <w:szCs w:val="21"/>
          <w:lang w:val="en-US" w:eastAsia="zh-CN"/>
        </w:rPr>
        <w:t>5</w:t>
      </w:r>
      <w:r>
        <w:rPr>
          <w:rFonts w:hint="eastAsia" w:ascii="黑体" w:hAnsi="黑体" w:eastAsia="黑体"/>
          <w:snapToGrid w:val="0"/>
          <w:color w:val="000000"/>
          <w:kern w:val="44"/>
          <w:szCs w:val="21"/>
        </w:rPr>
        <w:t>.2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bookmarkStart w:id="21" w:name="_Toc438720047"/>
    </w:p>
    <w:p w14:paraId="287D8A4D">
      <w:pPr>
        <w:pStyle w:val="60"/>
        <w:outlineLvl w:val="0"/>
      </w:pPr>
      <w:r>
        <w:rPr>
          <w:rFonts w:hint="eastAsia"/>
        </w:rPr>
        <w:t>7　技术服务、工厂检验</w:t>
      </w:r>
      <w:bookmarkEnd w:id="21"/>
    </w:p>
    <w:p w14:paraId="193C2CBD">
      <w:pPr>
        <w:pStyle w:val="59"/>
      </w:pPr>
      <w:r>
        <w:rPr>
          <w:rFonts w:hint="eastAsia"/>
        </w:rPr>
        <w:t>7</w:t>
      </w:r>
      <w:r>
        <w:rPr>
          <w:rFonts w:hint="eastAsia"/>
          <w:spacing w:val="20"/>
        </w:rPr>
        <w:t>.</w:t>
      </w:r>
      <w:r>
        <w:rPr>
          <w:rFonts w:hint="eastAsia"/>
        </w:rPr>
        <w:t>1　技术服务</w:t>
      </w:r>
    </w:p>
    <w:p w14:paraId="45EADEAB">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1　</w:t>
      </w:r>
      <w:r>
        <w:rPr>
          <w:rFonts w:hint="eastAsia"/>
          <w:snapToGrid w:val="0"/>
          <w:szCs w:val="21"/>
        </w:rPr>
        <w:t>概述：</w:t>
      </w:r>
    </w:p>
    <w:p w14:paraId="53CBB769">
      <w:pPr>
        <w:ind w:left="840" w:hanging="420"/>
      </w:pPr>
      <w:r>
        <w:t>a</w:t>
      </w:r>
      <w:r>
        <w:rPr>
          <w:rFonts w:hint="eastAsia"/>
        </w:rPr>
        <w:t>）</w:t>
      </w:r>
      <w:r>
        <w:tab/>
      </w:r>
      <w:r>
        <w:rPr>
          <w:rFonts w:hint="eastAsia"/>
        </w:rPr>
        <w:t>投标人应指派有经验的工程师，对合同设备的安装、调试和现场试验等进行技术指导。投标人指导人员应对所有安装工作的正确性负责，除非安装承包商的工作未按照卖方指导人员的意见执行，但是，投标人指导人员应立即以书面形式将此情况通知招标人。</w:t>
      </w:r>
    </w:p>
    <w:p w14:paraId="4D0749B3">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2　</w:t>
      </w:r>
      <w:r>
        <w:rPr>
          <w:rFonts w:hint="eastAsia"/>
          <w:snapToGrid w:val="0"/>
          <w:szCs w:val="21"/>
        </w:rPr>
        <w:t>任务和责任：</w:t>
      </w:r>
    </w:p>
    <w:p w14:paraId="4660F7DC">
      <w:pPr>
        <w:ind w:left="840" w:hanging="420"/>
      </w:pPr>
      <w:r>
        <w:t>a</w:t>
      </w:r>
      <w:r>
        <w:rPr>
          <w:rFonts w:hint="eastAsia"/>
        </w:rPr>
        <w:t>）</w:t>
      </w:r>
      <w:r>
        <w:tab/>
      </w:r>
      <w:r>
        <w:rPr>
          <w:rFonts w:hint="eastAsia"/>
        </w:rPr>
        <w:t>投标人技术人员应按合同规定完成有关设备的技术服务，指导设备的安装、调试。</w:t>
      </w:r>
    </w:p>
    <w:p w14:paraId="312A9512">
      <w:pPr>
        <w:ind w:left="840" w:hanging="420"/>
      </w:pPr>
      <w:r>
        <w:t>b</w:t>
      </w:r>
      <w:r>
        <w:rPr>
          <w:rFonts w:hint="eastAsia"/>
        </w:rPr>
        <w:t>）</w:t>
      </w:r>
      <w:r>
        <w:tab/>
      </w:r>
      <w:r>
        <w:rPr>
          <w:rFonts w:hint="eastAsia"/>
        </w:rPr>
        <w:t>投标人技术人员应对招标人人员详细地解释技术文件、图纸、运行和维护手册、设备特性、分析方法和有关的注意事项等，以及解答和解决招标人在合同范围内提出的技术问题。</w:t>
      </w:r>
    </w:p>
    <w:p w14:paraId="78310700">
      <w:pPr>
        <w:ind w:left="840" w:hanging="420"/>
      </w:pPr>
      <w:r>
        <w:t>c</w:t>
      </w:r>
      <w:r>
        <w:rPr>
          <w:rFonts w:hint="eastAsia"/>
        </w:rPr>
        <w:t>）</w:t>
      </w:r>
      <w:r>
        <w:tab/>
      </w:r>
      <w:r>
        <w:rPr>
          <w:rFonts w:hint="eastAsia"/>
        </w:rPr>
        <w:t>投标人技术人员有义务协助招标人在现场对运行和维护的人员进行必要的培训。</w:t>
      </w:r>
    </w:p>
    <w:p w14:paraId="72CF55CF">
      <w:pPr>
        <w:ind w:left="840" w:hanging="420"/>
      </w:pPr>
      <w:r>
        <w:t>d</w:t>
      </w:r>
      <w:r>
        <w:rPr>
          <w:rFonts w:hint="eastAsia"/>
        </w:rPr>
        <w:t>）</w:t>
      </w:r>
      <w:r>
        <w:tab/>
      </w:r>
      <w:r>
        <w:rPr>
          <w:rFonts w:hint="eastAsia"/>
        </w:rPr>
        <w:t>投标人技术人员的技术指导应是正确的，如因错误指导而引起设备和材料的损坏，投标人应负责修复、更换和（或）补充，费用由投标人承担，该费用中还包括进行修补期间所发生的服务费。招标人的有关技术人员应尊重卖方技术人员的技术指导。</w:t>
      </w:r>
    </w:p>
    <w:p w14:paraId="0C709030">
      <w:pPr>
        <w:ind w:left="840" w:hanging="420"/>
      </w:pPr>
      <w:r>
        <w:t>e</w:t>
      </w:r>
      <w:r>
        <w:rPr>
          <w:rFonts w:hint="eastAsia"/>
        </w:rPr>
        <w:t>）</w:t>
      </w:r>
      <w:r>
        <w:tab/>
      </w:r>
      <w:r>
        <w:rPr>
          <w:rFonts w:hint="eastAsia"/>
        </w:rPr>
        <w:t>投标人代表应充分理解招标人对安装、调试工作提出的技术和质量方面的意见和建议，使设备的安装、调试达到双方都满意的质量。</w:t>
      </w:r>
      <w:bookmarkStart w:id="22" w:name="_Toc327369532"/>
    </w:p>
    <w:bookmarkEnd w:id="22"/>
    <w:p w14:paraId="4FC3FACE">
      <w:pPr>
        <w:pStyle w:val="59"/>
      </w:pPr>
      <w:r>
        <w:rPr>
          <w:rFonts w:hint="eastAsia"/>
        </w:rPr>
        <w:t>7</w:t>
      </w:r>
      <w:r>
        <w:rPr>
          <w:rFonts w:hint="eastAsia"/>
          <w:spacing w:val="20"/>
        </w:rPr>
        <w:t>.</w:t>
      </w:r>
      <w:r>
        <w:rPr>
          <w:rFonts w:hint="eastAsia"/>
        </w:rPr>
        <w:t>2　</w:t>
      </w:r>
      <w:r>
        <w:rPr>
          <w:rFonts w:hint="eastAsia"/>
          <w:snapToGrid w:val="0"/>
        </w:rPr>
        <w:t>工厂检验</w:t>
      </w:r>
    </w:p>
    <w:p w14:paraId="5477AC30">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招标人有权派遣其检验人员到投标人的车间场所，对合同设备的加工制造进行检验。</w:t>
      </w:r>
    </w:p>
    <w:p w14:paraId="1D6B5B5A">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如经检验和试验有不符合技术规范的合同设备，招标人可以拒收，投标人应无偿给予更换。</w:t>
      </w:r>
    </w:p>
    <w:p w14:paraId="11A82FD6">
      <w:pPr>
        <w:topLinePunct/>
        <w:spacing w:line="312" w:lineRule="exact"/>
        <w:rPr>
          <w:rFonts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设备运到招标人后，招标人有进行检验、试验和拒收（如果必要时）的权力，不得因该合同设备在原产地发运以前已经由招标人或其代表进行过检验并已通过作为理由而受到限制。投标人应在开始进行工厂试验前</w:t>
      </w:r>
      <w:r>
        <w:rPr>
          <w:rFonts w:hint="eastAsia" w:ascii="宋体" w:hAnsi="宋体"/>
          <w:snapToGrid w:val="0"/>
          <w:szCs w:val="21"/>
          <w:u w:val="single"/>
        </w:rPr>
        <w:t>　30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14　</w:t>
      </w:r>
      <w:r>
        <w:rPr>
          <w:rFonts w:hint="eastAsia" w:ascii="宋体" w:hAnsi="宋体"/>
          <w:snapToGrid w:val="0"/>
          <w:szCs w:val="21"/>
        </w:rPr>
        <w:t>天内通知投标人。招标人技术人员前往投标人生产现场，观察和了解该合同设备工厂试验的情况及其运输包装的情况时，若发现任一货物的质量不符合合同规定的标准，或包装不满足要求，招标人技术人员有权发表意见，投标人应认真考虑其意见，并采取必要措施以确保合同设备的质量。</w:t>
      </w:r>
    </w:p>
    <w:p w14:paraId="4725BD5C">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53CA54CD">
      <w:pPr>
        <w:widowControl/>
        <w:jc w:val="left"/>
        <w:rPr>
          <w:snapToGrid w:val="0"/>
          <w:kern w:val="0"/>
          <w:szCs w:val="21"/>
        </w:rPr>
      </w:pPr>
      <w:r>
        <w:rPr>
          <w:rFonts w:hint="eastAsia" w:ascii="EU-F1"/>
          <w:snapToGrid w:val="0"/>
          <w:kern w:val="0"/>
          <w:szCs w:val="21"/>
        </w:rPr>
        <w:t>7</w:t>
      </w:r>
      <w:r>
        <w:rPr>
          <w:rFonts w:hint="eastAsia" w:ascii="EU-F1"/>
          <w:snapToGrid w:val="0"/>
          <w:spacing w:val="20"/>
          <w:kern w:val="0"/>
          <w:szCs w:val="21"/>
        </w:rPr>
        <w:t>.</w:t>
      </w:r>
      <w:r>
        <w:rPr>
          <w:rFonts w:hint="eastAsia" w:ascii="EU-F1"/>
          <w:snapToGrid w:val="0"/>
          <w:kern w:val="0"/>
          <w:szCs w:val="21"/>
        </w:rPr>
        <w:t>2</w:t>
      </w:r>
      <w:r>
        <w:rPr>
          <w:rFonts w:hint="eastAsia" w:ascii="EU-F1"/>
          <w:snapToGrid w:val="0"/>
          <w:spacing w:val="20"/>
          <w:kern w:val="0"/>
          <w:szCs w:val="21"/>
        </w:rPr>
        <w:t>.</w:t>
      </w:r>
      <w:r>
        <w:rPr>
          <w:rFonts w:hint="eastAsia" w:ascii="EU-F1"/>
          <w:snapToGrid w:val="0"/>
          <w:kern w:val="0"/>
          <w:szCs w:val="21"/>
        </w:rPr>
        <w:t>5　</w:t>
      </w:r>
      <w:r>
        <w:rPr>
          <w:rFonts w:hint="eastAsia"/>
          <w:snapToGrid w:val="0"/>
          <w:kern w:val="0"/>
          <w:szCs w:val="21"/>
        </w:rPr>
        <w:t>为对合同设备进行了解，投标人应对招标人进行技术培训。</w:t>
      </w:r>
    </w:p>
    <w:p w14:paraId="512968F3">
      <w:pPr>
        <w:pStyle w:val="59"/>
      </w:pPr>
      <w:bookmarkStart w:id="23" w:name="_Toc269375989"/>
      <w:bookmarkStart w:id="24" w:name="_Toc178439789"/>
      <w:r>
        <w:rPr>
          <w:rFonts w:hint="eastAsia"/>
        </w:rPr>
        <w:t>7</w:t>
      </w:r>
      <w:r>
        <w:rPr>
          <w:rFonts w:hint="eastAsia"/>
          <w:spacing w:val="20"/>
        </w:rPr>
        <w:t>.3</w:t>
      </w:r>
      <w:r>
        <w:rPr>
          <w:rFonts w:hint="eastAsia"/>
        </w:rPr>
        <w:t>　</w:t>
      </w:r>
      <w:r>
        <w:rPr>
          <w:rFonts w:hint="eastAsia"/>
          <w:snapToGrid w:val="0"/>
        </w:rPr>
        <w:t>售后服务</w:t>
      </w:r>
    </w:p>
    <w:bookmarkEnd w:id="23"/>
    <w:bookmarkEnd w:id="24"/>
    <w:p w14:paraId="5FC5DBC2">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保修期内产品出现不符合功能和技术指标要求的，供方应负责无偿修理或更换；保修期外供方更换损坏的设备，按成本收取维修费用。</w:t>
      </w:r>
    </w:p>
    <w:p w14:paraId="6B8F366C">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148B6100">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出现异常、设备缺陷、元件损坏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小时内响应，并立即派出工程技术人员在</w:t>
      </w:r>
      <w:r>
        <w:rPr>
          <w:snapToGrid w:val="0"/>
          <w:kern w:val="0"/>
          <w:szCs w:val="21"/>
        </w:rPr>
        <w:t>48</w:t>
      </w:r>
      <w:r>
        <w:rPr>
          <w:rFonts w:hint="eastAsia"/>
          <w:snapToGrid w:val="0"/>
          <w:kern w:val="0"/>
          <w:szCs w:val="21"/>
        </w:rPr>
        <w:t>小时内到达现场进行处理。</w:t>
      </w:r>
    </w:p>
    <w:p w14:paraId="75CD285D">
      <w:pPr>
        <w:pStyle w:val="60"/>
        <w:outlineLvl w:val="0"/>
      </w:pPr>
      <w:bookmarkStart w:id="25" w:name="_Toc438720048"/>
      <w:r>
        <w:rPr>
          <w:rFonts w:hint="eastAsia"/>
        </w:rPr>
        <w:t>8　报价表</w:t>
      </w:r>
      <w:bookmarkEnd w:id="25"/>
    </w:p>
    <w:p w14:paraId="4C0484A0">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r>
        <w:rPr>
          <w:rFonts w:hint="eastAsia"/>
          <w:szCs w:val="21"/>
        </w:rPr>
        <w:t>报价表分为报价汇总表、分项报价表</w:t>
      </w:r>
      <w:r>
        <w:rPr>
          <w:rFonts w:hint="eastAsia"/>
          <w:szCs w:val="21"/>
          <w:lang w:eastAsia="zh-CN"/>
        </w:rPr>
        <w:t>、</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tbl>
      <w:tblPr>
        <w:tblStyle w:val="38"/>
        <w:tblW w:w="13897" w:type="dxa"/>
        <w:tblInd w:w="97" w:type="dxa"/>
        <w:tblLayout w:type="fixed"/>
        <w:tblCellMar>
          <w:top w:w="0" w:type="dxa"/>
          <w:left w:w="108" w:type="dxa"/>
          <w:bottom w:w="0" w:type="dxa"/>
          <w:right w:w="108" w:type="dxa"/>
        </w:tblCellMar>
      </w:tblPr>
      <w:tblGrid>
        <w:gridCol w:w="720"/>
        <w:gridCol w:w="3481"/>
        <w:gridCol w:w="900"/>
        <w:gridCol w:w="900"/>
        <w:gridCol w:w="1091"/>
        <w:gridCol w:w="928"/>
        <w:gridCol w:w="1363"/>
        <w:gridCol w:w="4514"/>
      </w:tblGrid>
      <w:tr w14:paraId="6AE40C86">
        <w:tblPrEx>
          <w:tblCellMar>
            <w:top w:w="0" w:type="dxa"/>
            <w:left w:w="108" w:type="dxa"/>
            <w:bottom w:w="0" w:type="dxa"/>
            <w:right w:w="108" w:type="dxa"/>
          </w:tblCellMar>
        </w:tblPrEx>
        <w:trPr>
          <w:trHeight w:val="570" w:hRule="atLeast"/>
        </w:trPr>
        <w:tc>
          <w:tcPr>
            <w:tcW w:w="13897" w:type="dxa"/>
            <w:gridSpan w:val="8"/>
            <w:tcBorders>
              <w:top w:val="nil"/>
              <w:left w:val="nil"/>
              <w:bottom w:val="single" w:color="auto" w:sz="4" w:space="0"/>
              <w:right w:val="nil"/>
            </w:tcBorders>
            <w:shd w:val="clear" w:color="auto" w:fill="auto"/>
            <w:vAlign w:val="center"/>
          </w:tcPr>
          <w:p w14:paraId="49509681">
            <w:pPr>
              <w:widowControl/>
              <w:jc w:val="center"/>
              <w:rPr>
                <w:rFonts w:ascii="宋体" w:hAnsi="宋体" w:cs="宋体"/>
                <w:color w:val="000000"/>
                <w:kern w:val="0"/>
                <w:sz w:val="22"/>
                <w:szCs w:val="22"/>
              </w:rPr>
            </w:pPr>
            <w:r>
              <w:rPr>
                <w:rFonts w:hint="eastAsia" w:ascii="宋体" w:hAnsi="宋体" w:cs="宋体"/>
                <w:color w:val="000000"/>
                <w:kern w:val="0"/>
                <w:sz w:val="22"/>
                <w:szCs w:val="22"/>
              </w:rPr>
              <w:t>报价汇总表</w:t>
            </w:r>
          </w:p>
        </w:tc>
      </w:tr>
      <w:tr w14:paraId="762F3AD4">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104DD4A6">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3481" w:type="dxa"/>
            <w:tcBorders>
              <w:top w:val="nil"/>
              <w:left w:val="nil"/>
              <w:bottom w:val="single" w:color="auto" w:sz="4" w:space="0"/>
              <w:right w:val="single" w:color="auto" w:sz="4" w:space="0"/>
            </w:tcBorders>
            <w:shd w:val="clear" w:color="auto" w:fill="auto"/>
            <w:vAlign w:val="center"/>
          </w:tcPr>
          <w:p w14:paraId="6EAA85E4">
            <w:pPr>
              <w:widowControl/>
              <w:jc w:val="center"/>
              <w:rPr>
                <w:rFonts w:ascii="宋体" w:hAnsi="宋体" w:cs="宋体"/>
                <w:color w:val="000000"/>
                <w:kern w:val="0"/>
                <w:sz w:val="22"/>
                <w:szCs w:val="22"/>
              </w:rPr>
            </w:pPr>
            <w:r>
              <w:rPr>
                <w:rFonts w:hint="eastAsia" w:ascii="宋体" w:hAnsi="宋体" w:cs="宋体"/>
                <w:color w:val="000000"/>
                <w:kern w:val="0"/>
                <w:sz w:val="22"/>
                <w:szCs w:val="22"/>
              </w:rPr>
              <w:t>产品技术描述</w:t>
            </w:r>
          </w:p>
        </w:tc>
        <w:tc>
          <w:tcPr>
            <w:tcW w:w="900" w:type="dxa"/>
            <w:tcBorders>
              <w:top w:val="nil"/>
              <w:left w:val="nil"/>
              <w:bottom w:val="single" w:color="auto" w:sz="4" w:space="0"/>
              <w:right w:val="single" w:color="auto" w:sz="4" w:space="0"/>
            </w:tcBorders>
            <w:shd w:val="clear" w:color="auto" w:fill="auto"/>
            <w:vAlign w:val="center"/>
          </w:tcPr>
          <w:p w14:paraId="6276A732">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900" w:type="dxa"/>
            <w:tcBorders>
              <w:top w:val="nil"/>
              <w:left w:val="nil"/>
              <w:bottom w:val="single" w:color="auto" w:sz="4" w:space="0"/>
              <w:right w:val="single" w:color="auto" w:sz="4" w:space="0"/>
            </w:tcBorders>
            <w:shd w:val="clear" w:color="auto" w:fill="auto"/>
            <w:vAlign w:val="center"/>
          </w:tcPr>
          <w:p w14:paraId="67655DDE">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1091" w:type="dxa"/>
            <w:tcBorders>
              <w:top w:val="nil"/>
              <w:left w:val="nil"/>
              <w:bottom w:val="single" w:color="auto" w:sz="4" w:space="0"/>
              <w:right w:val="single" w:color="auto" w:sz="4" w:space="0"/>
            </w:tcBorders>
            <w:shd w:val="clear" w:color="auto" w:fill="auto"/>
            <w:vAlign w:val="center"/>
          </w:tcPr>
          <w:p w14:paraId="552EA538">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928" w:type="dxa"/>
            <w:tcBorders>
              <w:top w:val="nil"/>
              <w:left w:val="nil"/>
              <w:bottom w:val="single" w:color="auto" w:sz="4" w:space="0"/>
              <w:right w:val="single" w:color="auto" w:sz="4" w:space="0"/>
            </w:tcBorders>
            <w:shd w:val="clear" w:color="auto" w:fill="auto"/>
            <w:vAlign w:val="center"/>
          </w:tcPr>
          <w:p w14:paraId="5A42329C">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363" w:type="dxa"/>
            <w:tcBorders>
              <w:top w:val="nil"/>
              <w:left w:val="nil"/>
              <w:bottom w:val="single" w:color="auto" w:sz="4" w:space="0"/>
              <w:right w:val="single" w:color="auto" w:sz="4" w:space="0"/>
            </w:tcBorders>
            <w:shd w:val="clear" w:color="auto" w:fill="auto"/>
            <w:vAlign w:val="center"/>
          </w:tcPr>
          <w:p w14:paraId="11EA65FB">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4514" w:type="dxa"/>
            <w:tcBorders>
              <w:top w:val="nil"/>
              <w:left w:val="nil"/>
              <w:bottom w:val="single" w:color="auto" w:sz="4" w:space="0"/>
              <w:right w:val="single" w:color="auto" w:sz="4" w:space="0"/>
            </w:tcBorders>
            <w:shd w:val="clear" w:color="auto" w:fill="auto"/>
            <w:vAlign w:val="center"/>
          </w:tcPr>
          <w:p w14:paraId="126EF10C">
            <w:pPr>
              <w:widowControl/>
              <w:jc w:val="center"/>
              <w:rPr>
                <w:rFonts w:ascii="宋体" w:hAnsi="宋体" w:cs="宋体"/>
                <w:color w:val="000000"/>
                <w:kern w:val="0"/>
                <w:sz w:val="22"/>
                <w:szCs w:val="22"/>
              </w:rPr>
            </w:pPr>
            <w:r>
              <w:rPr>
                <w:rFonts w:hint="eastAsia" w:ascii="宋体" w:hAnsi="宋体" w:cs="宋体"/>
                <w:color w:val="000000"/>
                <w:kern w:val="0"/>
                <w:sz w:val="22"/>
                <w:szCs w:val="22"/>
              </w:rPr>
              <w:t>其他说明</w:t>
            </w:r>
          </w:p>
        </w:tc>
      </w:tr>
      <w:tr w14:paraId="366FA320">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6F408DC">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3481" w:type="dxa"/>
            <w:tcBorders>
              <w:top w:val="nil"/>
              <w:left w:val="nil"/>
              <w:bottom w:val="single" w:color="auto" w:sz="4" w:space="0"/>
              <w:right w:val="single" w:color="auto" w:sz="4" w:space="0"/>
            </w:tcBorders>
            <w:shd w:val="clear" w:color="auto" w:fill="auto"/>
            <w:vAlign w:val="center"/>
          </w:tcPr>
          <w:p w14:paraId="588B3F6B">
            <w:pPr>
              <w:topLinePunct/>
              <w:adjustRightInd w:val="0"/>
              <w:snapToGrid w:val="0"/>
              <w:spacing w:before="34" w:after="34"/>
              <w:rPr>
                <w:rFonts w:hint="eastAsia" w:ascii="宋体" w:hAnsi="宋体" w:eastAsia="宋体" w:cs="宋体"/>
                <w:color w:val="000000"/>
                <w:kern w:val="2"/>
                <w:sz w:val="22"/>
                <w:szCs w:val="22"/>
                <w:lang w:val="en-US" w:eastAsia="zh-CN" w:bidi="ar-SA"/>
              </w:rPr>
            </w:pPr>
            <w:r>
              <w:rPr>
                <w:rFonts w:hint="eastAsia" w:ascii="宋体" w:hAnsi="宋体" w:cs="宋体"/>
                <w:color w:val="000000"/>
                <w:kern w:val="0"/>
                <w:sz w:val="22"/>
                <w:szCs w:val="22"/>
                <w:lang w:val="en-US" w:eastAsia="zh-CN"/>
              </w:rPr>
              <w:t xml:space="preserve">BH-0.66-I型 ( )/5A  0.5级 </w:t>
            </w:r>
          </w:p>
        </w:tc>
        <w:tc>
          <w:tcPr>
            <w:tcW w:w="900" w:type="dxa"/>
            <w:tcBorders>
              <w:top w:val="nil"/>
              <w:left w:val="nil"/>
              <w:bottom w:val="single" w:color="auto" w:sz="4" w:space="0"/>
              <w:right w:val="single" w:color="auto" w:sz="4" w:space="0"/>
            </w:tcBorders>
            <w:shd w:val="clear" w:color="auto" w:fill="auto"/>
            <w:vAlign w:val="center"/>
          </w:tcPr>
          <w:p w14:paraId="7BFF4387">
            <w:pPr>
              <w:jc w:val="center"/>
              <w:rPr>
                <w:rFonts w:hint="default" w:ascii="宋体" w:hAnsi="宋体" w:eastAsia="宋体" w:cs="宋体"/>
                <w:color w:val="000000"/>
                <w:kern w:val="2"/>
                <w:sz w:val="22"/>
                <w:szCs w:val="22"/>
                <w:lang w:val="en-US" w:eastAsia="zh-CN" w:bidi="ar-SA"/>
              </w:rPr>
            </w:pPr>
            <w:r>
              <w:rPr>
                <w:rFonts w:hint="eastAsia"/>
                <w:color w:val="000000"/>
                <w:sz w:val="22"/>
                <w:szCs w:val="22"/>
              </w:rPr>
              <w:t>只</w:t>
            </w:r>
          </w:p>
        </w:tc>
        <w:tc>
          <w:tcPr>
            <w:tcW w:w="900" w:type="dxa"/>
            <w:tcBorders>
              <w:top w:val="nil"/>
              <w:left w:val="nil"/>
              <w:bottom w:val="single" w:color="auto" w:sz="4" w:space="0"/>
              <w:right w:val="single" w:color="auto" w:sz="4" w:space="0"/>
            </w:tcBorders>
            <w:shd w:val="clear" w:color="auto" w:fill="auto"/>
            <w:vAlign w:val="center"/>
          </w:tcPr>
          <w:p w14:paraId="122019FE">
            <w:pPr>
              <w:jc w:val="center"/>
              <w:rPr>
                <w:rFonts w:hint="eastAsia" w:ascii="宋体" w:hAnsi="宋体" w:eastAsia="宋体" w:cs="宋体"/>
                <w:color w:val="000000"/>
                <w:kern w:val="2"/>
                <w:sz w:val="22"/>
                <w:szCs w:val="22"/>
                <w:lang w:val="en-US" w:eastAsia="zh-CN" w:bidi="ar-SA"/>
              </w:rPr>
            </w:pPr>
            <w:r>
              <w:rPr>
                <w:rFonts w:hint="eastAsia"/>
                <w:color w:val="000000"/>
                <w:sz w:val="22"/>
                <w:szCs w:val="22"/>
              </w:rPr>
              <w:t>1</w:t>
            </w:r>
          </w:p>
        </w:tc>
        <w:tc>
          <w:tcPr>
            <w:tcW w:w="1091" w:type="dxa"/>
            <w:tcBorders>
              <w:top w:val="nil"/>
              <w:left w:val="nil"/>
              <w:bottom w:val="single" w:color="auto" w:sz="4" w:space="0"/>
              <w:right w:val="single" w:color="auto" w:sz="4" w:space="0"/>
            </w:tcBorders>
            <w:shd w:val="clear" w:color="auto" w:fill="auto"/>
            <w:vAlign w:val="center"/>
          </w:tcPr>
          <w:p w14:paraId="36DE39C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928" w:type="dxa"/>
            <w:tcBorders>
              <w:top w:val="nil"/>
              <w:left w:val="nil"/>
              <w:bottom w:val="single" w:color="auto" w:sz="4" w:space="0"/>
              <w:right w:val="single" w:color="auto" w:sz="4" w:space="0"/>
            </w:tcBorders>
            <w:shd w:val="clear" w:color="auto" w:fill="auto"/>
            <w:vAlign w:val="center"/>
          </w:tcPr>
          <w:p w14:paraId="70DBD34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63" w:type="dxa"/>
            <w:tcBorders>
              <w:top w:val="nil"/>
              <w:left w:val="nil"/>
              <w:bottom w:val="single" w:color="auto" w:sz="4" w:space="0"/>
              <w:right w:val="single" w:color="auto" w:sz="4" w:space="0"/>
            </w:tcBorders>
            <w:shd w:val="clear" w:color="auto" w:fill="auto"/>
            <w:vAlign w:val="center"/>
          </w:tcPr>
          <w:p w14:paraId="775F1BE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4514" w:type="dxa"/>
            <w:tcBorders>
              <w:top w:val="nil"/>
              <w:left w:val="nil"/>
              <w:bottom w:val="single" w:color="auto" w:sz="4" w:space="0"/>
              <w:right w:val="single" w:color="auto" w:sz="4" w:space="0"/>
            </w:tcBorders>
            <w:shd w:val="clear" w:color="auto" w:fill="auto"/>
            <w:vAlign w:val="center"/>
          </w:tcPr>
          <w:p w14:paraId="31090C7A">
            <w:pPr>
              <w:widowControl/>
              <w:jc w:val="center"/>
              <w:rPr>
                <w:rFonts w:ascii="宋体" w:hAnsi="宋体" w:eastAsia="宋体" w:cs="宋体"/>
                <w:color w:val="000000"/>
                <w:kern w:val="2"/>
                <w:sz w:val="22"/>
                <w:szCs w:val="22"/>
                <w:lang w:val="en-US" w:eastAsia="zh-CN" w:bidi="ar-SA"/>
              </w:rPr>
            </w:pPr>
            <w:r>
              <w:rPr>
                <w:rFonts w:hint="eastAsia" w:ascii="宋体" w:hAnsi="宋体" w:cs="宋体"/>
                <w:color w:val="000000"/>
                <w:kern w:val="0"/>
                <w:sz w:val="22"/>
                <w:szCs w:val="22"/>
                <w:lang w:val="en-US" w:eastAsia="zh-CN"/>
              </w:rPr>
              <w:t>100/5、600/5、1000/5、1500/5、2000/5A</w:t>
            </w:r>
          </w:p>
        </w:tc>
      </w:tr>
      <w:tr w14:paraId="13F87DD6">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961356B">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3481" w:type="dxa"/>
            <w:tcBorders>
              <w:top w:val="nil"/>
              <w:left w:val="nil"/>
              <w:bottom w:val="single" w:color="auto" w:sz="4" w:space="0"/>
              <w:right w:val="single" w:color="auto" w:sz="4" w:space="0"/>
            </w:tcBorders>
            <w:shd w:val="clear" w:color="auto" w:fill="auto"/>
            <w:vAlign w:val="center"/>
          </w:tcPr>
          <w:p w14:paraId="616215C6">
            <w:pPr>
              <w:widowControl/>
              <w:jc w:val="left"/>
              <w:rPr>
                <w:rFonts w:hint="default" w:ascii="宋体" w:hAnsi="宋体" w:eastAsia="宋体" w:cs="宋体"/>
                <w:color w:val="000000"/>
                <w:kern w:val="2"/>
                <w:sz w:val="22"/>
                <w:szCs w:val="22"/>
                <w:lang w:val="en-US" w:eastAsia="zh-CN" w:bidi="ar-SA"/>
              </w:rPr>
            </w:pPr>
            <w:r>
              <w:rPr>
                <w:rFonts w:hint="eastAsia" w:ascii="宋体" w:hAnsi="宋体" w:cs="宋体"/>
                <w:color w:val="000000"/>
                <w:kern w:val="0"/>
                <w:sz w:val="22"/>
                <w:szCs w:val="22"/>
                <w:lang w:val="en-US" w:eastAsia="zh-CN"/>
              </w:rPr>
              <w:t xml:space="preserve">BH-0.66-I型（ )/5A  0.5S级 </w:t>
            </w:r>
          </w:p>
        </w:tc>
        <w:tc>
          <w:tcPr>
            <w:tcW w:w="900" w:type="dxa"/>
            <w:tcBorders>
              <w:top w:val="nil"/>
              <w:left w:val="nil"/>
              <w:bottom w:val="single" w:color="auto" w:sz="4" w:space="0"/>
              <w:right w:val="single" w:color="auto" w:sz="4" w:space="0"/>
            </w:tcBorders>
            <w:shd w:val="clear" w:color="auto" w:fill="auto"/>
            <w:vAlign w:val="center"/>
          </w:tcPr>
          <w:p w14:paraId="32F691C8">
            <w:pPr>
              <w:jc w:val="center"/>
              <w:rPr>
                <w:rFonts w:hint="eastAsia" w:ascii="宋体" w:hAnsi="宋体" w:eastAsia="宋体" w:cs="宋体"/>
                <w:color w:val="000000"/>
                <w:kern w:val="2"/>
                <w:sz w:val="22"/>
                <w:szCs w:val="22"/>
                <w:lang w:val="en-US" w:eastAsia="zh-CN" w:bidi="ar-SA"/>
              </w:rPr>
            </w:pPr>
            <w:r>
              <w:rPr>
                <w:rFonts w:hint="eastAsia"/>
                <w:color w:val="000000"/>
                <w:sz w:val="22"/>
                <w:szCs w:val="22"/>
              </w:rPr>
              <w:t>只</w:t>
            </w:r>
          </w:p>
        </w:tc>
        <w:tc>
          <w:tcPr>
            <w:tcW w:w="900" w:type="dxa"/>
            <w:tcBorders>
              <w:top w:val="nil"/>
              <w:left w:val="nil"/>
              <w:bottom w:val="single" w:color="auto" w:sz="4" w:space="0"/>
              <w:right w:val="single" w:color="auto" w:sz="4" w:space="0"/>
            </w:tcBorders>
            <w:shd w:val="clear" w:color="auto" w:fill="auto"/>
            <w:vAlign w:val="center"/>
          </w:tcPr>
          <w:p w14:paraId="13C08358">
            <w:pPr>
              <w:jc w:val="center"/>
              <w:rPr>
                <w:rFonts w:hint="eastAsia" w:ascii="宋体" w:hAnsi="宋体" w:eastAsia="宋体" w:cs="宋体"/>
                <w:color w:val="000000"/>
                <w:kern w:val="2"/>
                <w:sz w:val="22"/>
                <w:szCs w:val="22"/>
                <w:lang w:val="en-US" w:eastAsia="zh-CN" w:bidi="ar-SA"/>
              </w:rPr>
            </w:pPr>
            <w:r>
              <w:rPr>
                <w:rFonts w:hint="eastAsia"/>
                <w:color w:val="000000"/>
                <w:sz w:val="22"/>
                <w:szCs w:val="22"/>
              </w:rPr>
              <w:t>1</w:t>
            </w:r>
          </w:p>
        </w:tc>
        <w:tc>
          <w:tcPr>
            <w:tcW w:w="1091" w:type="dxa"/>
            <w:tcBorders>
              <w:top w:val="nil"/>
              <w:left w:val="nil"/>
              <w:bottom w:val="single" w:color="auto" w:sz="4" w:space="0"/>
              <w:right w:val="single" w:color="auto" w:sz="4" w:space="0"/>
            </w:tcBorders>
            <w:shd w:val="clear" w:color="auto" w:fill="auto"/>
            <w:vAlign w:val="center"/>
          </w:tcPr>
          <w:p w14:paraId="0FF37A3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928" w:type="dxa"/>
            <w:tcBorders>
              <w:top w:val="nil"/>
              <w:left w:val="nil"/>
              <w:bottom w:val="single" w:color="auto" w:sz="4" w:space="0"/>
              <w:right w:val="single" w:color="auto" w:sz="4" w:space="0"/>
            </w:tcBorders>
            <w:shd w:val="clear" w:color="auto" w:fill="auto"/>
            <w:vAlign w:val="center"/>
          </w:tcPr>
          <w:p w14:paraId="6ED3C91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63" w:type="dxa"/>
            <w:tcBorders>
              <w:top w:val="nil"/>
              <w:left w:val="nil"/>
              <w:bottom w:val="single" w:color="auto" w:sz="4" w:space="0"/>
              <w:right w:val="single" w:color="auto" w:sz="4" w:space="0"/>
            </w:tcBorders>
            <w:shd w:val="clear" w:color="auto" w:fill="auto"/>
            <w:vAlign w:val="center"/>
          </w:tcPr>
          <w:p w14:paraId="0864513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4514" w:type="dxa"/>
            <w:tcBorders>
              <w:top w:val="nil"/>
              <w:left w:val="nil"/>
              <w:bottom w:val="single" w:color="auto" w:sz="4" w:space="0"/>
              <w:right w:val="single" w:color="auto" w:sz="4" w:space="0"/>
            </w:tcBorders>
            <w:shd w:val="clear" w:color="auto" w:fill="auto"/>
            <w:vAlign w:val="center"/>
          </w:tcPr>
          <w:p w14:paraId="08182C36">
            <w:pPr>
              <w:widowControl/>
              <w:jc w:val="center"/>
              <w:rPr>
                <w:rFonts w:ascii="宋体" w:hAnsi="宋体" w:eastAsia="宋体" w:cs="宋体"/>
                <w:color w:val="000000"/>
                <w:kern w:val="2"/>
                <w:sz w:val="22"/>
                <w:szCs w:val="22"/>
                <w:lang w:val="en-US" w:eastAsia="zh-CN" w:bidi="ar-SA"/>
              </w:rPr>
            </w:pPr>
            <w:r>
              <w:rPr>
                <w:rFonts w:hint="eastAsia" w:ascii="宋体" w:hAnsi="宋体" w:cs="宋体"/>
                <w:color w:val="000000"/>
                <w:kern w:val="0"/>
                <w:sz w:val="22"/>
                <w:szCs w:val="22"/>
                <w:lang w:val="en-US" w:eastAsia="zh-CN"/>
              </w:rPr>
              <w:t>100/5、600/5、1000/5、1500/5、2000/5A</w:t>
            </w:r>
          </w:p>
        </w:tc>
      </w:tr>
      <w:tr w14:paraId="7E51A6D9">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0BFB53D2">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3481" w:type="dxa"/>
            <w:tcBorders>
              <w:top w:val="nil"/>
              <w:left w:val="nil"/>
              <w:bottom w:val="single" w:color="auto" w:sz="4" w:space="0"/>
              <w:right w:val="single" w:color="auto" w:sz="4" w:space="0"/>
            </w:tcBorders>
            <w:shd w:val="clear" w:color="auto" w:fill="auto"/>
            <w:vAlign w:val="center"/>
          </w:tcPr>
          <w:p w14:paraId="0F119EEB">
            <w:pPr>
              <w:widowControl/>
              <w:jc w:val="left"/>
              <w:rPr>
                <w:rFonts w:hint="eastAsia" w:ascii="宋体" w:hAnsi="宋体" w:eastAsia="宋体" w:cs="宋体"/>
                <w:color w:val="000000"/>
                <w:kern w:val="2"/>
                <w:sz w:val="22"/>
                <w:szCs w:val="22"/>
                <w:lang w:val="en-US" w:eastAsia="zh-CN" w:bidi="ar-SA"/>
              </w:rPr>
            </w:pPr>
            <w:r>
              <w:rPr>
                <w:rFonts w:hint="eastAsia" w:ascii="宋体" w:hAnsi="宋体" w:cs="宋体"/>
                <w:color w:val="000000"/>
                <w:kern w:val="0"/>
                <w:sz w:val="22"/>
                <w:szCs w:val="22"/>
                <w:lang w:val="en-US" w:eastAsia="zh-CN"/>
              </w:rPr>
              <w:t xml:space="preserve">BH-0.66-II型 ( )/5A  0.5级 </w:t>
            </w:r>
          </w:p>
        </w:tc>
        <w:tc>
          <w:tcPr>
            <w:tcW w:w="900" w:type="dxa"/>
            <w:tcBorders>
              <w:top w:val="nil"/>
              <w:left w:val="nil"/>
              <w:bottom w:val="single" w:color="auto" w:sz="4" w:space="0"/>
              <w:right w:val="single" w:color="auto" w:sz="4" w:space="0"/>
            </w:tcBorders>
            <w:shd w:val="clear" w:color="auto" w:fill="auto"/>
            <w:vAlign w:val="center"/>
          </w:tcPr>
          <w:p w14:paraId="6C224D77">
            <w:pPr>
              <w:jc w:val="center"/>
              <w:rPr>
                <w:rFonts w:ascii="宋体" w:hAnsi="宋体" w:eastAsia="宋体" w:cs="宋体"/>
                <w:color w:val="000000"/>
                <w:kern w:val="2"/>
                <w:sz w:val="22"/>
                <w:szCs w:val="22"/>
                <w:lang w:val="en-US" w:eastAsia="zh-CN" w:bidi="ar-SA"/>
              </w:rPr>
            </w:pPr>
            <w:r>
              <w:rPr>
                <w:rFonts w:hint="eastAsia"/>
                <w:color w:val="000000"/>
                <w:sz w:val="22"/>
                <w:szCs w:val="22"/>
              </w:rPr>
              <w:t>只</w:t>
            </w:r>
          </w:p>
        </w:tc>
        <w:tc>
          <w:tcPr>
            <w:tcW w:w="900" w:type="dxa"/>
            <w:tcBorders>
              <w:top w:val="nil"/>
              <w:left w:val="nil"/>
              <w:bottom w:val="single" w:color="auto" w:sz="4" w:space="0"/>
              <w:right w:val="single" w:color="auto" w:sz="4" w:space="0"/>
            </w:tcBorders>
            <w:shd w:val="clear" w:color="auto" w:fill="auto"/>
            <w:vAlign w:val="center"/>
          </w:tcPr>
          <w:p w14:paraId="11777A6A">
            <w:pPr>
              <w:jc w:val="center"/>
              <w:rPr>
                <w:rFonts w:ascii="宋体" w:hAnsi="宋体" w:eastAsia="宋体" w:cs="宋体"/>
                <w:color w:val="000000"/>
                <w:kern w:val="2"/>
                <w:sz w:val="22"/>
                <w:szCs w:val="22"/>
                <w:lang w:val="en-US" w:eastAsia="zh-CN" w:bidi="ar-SA"/>
              </w:rPr>
            </w:pPr>
            <w:r>
              <w:rPr>
                <w:rFonts w:hint="eastAsia"/>
                <w:color w:val="000000"/>
                <w:sz w:val="22"/>
                <w:szCs w:val="22"/>
              </w:rPr>
              <w:t>1</w:t>
            </w:r>
          </w:p>
        </w:tc>
        <w:tc>
          <w:tcPr>
            <w:tcW w:w="1091" w:type="dxa"/>
            <w:tcBorders>
              <w:top w:val="nil"/>
              <w:left w:val="nil"/>
              <w:bottom w:val="single" w:color="auto" w:sz="4" w:space="0"/>
              <w:right w:val="single" w:color="auto" w:sz="4" w:space="0"/>
            </w:tcBorders>
            <w:shd w:val="clear" w:color="auto" w:fill="auto"/>
            <w:vAlign w:val="center"/>
          </w:tcPr>
          <w:p w14:paraId="4E0A9E6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928" w:type="dxa"/>
            <w:tcBorders>
              <w:top w:val="nil"/>
              <w:left w:val="nil"/>
              <w:bottom w:val="single" w:color="auto" w:sz="4" w:space="0"/>
              <w:right w:val="single" w:color="auto" w:sz="4" w:space="0"/>
            </w:tcBorders>
            <w:shd w:val="clear" w:color="auto" w:fill="auto"/>
            <w:vAlign w:val="center"/>
          </w:tcPr>
          <w:p w14:paraId="69AB323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63" w:type="dxa"/>
            <w:tcBorders>
              <w:top w:val="nil"/>
              <w:left w:val="nil"/>
              <w:bottom w:val="single" w:color="auto" w:sz="4" w:space="0"/>
              <w:right w:val="single" w:color="auto" w:sz="4" w:space="0"/>
            </w:tcBorders>
            <w:shd w:val="clear" w:color="auto" w:fill="auto"/>
            <w:vAlign w:val="center"/>
          </w:tcPr>
          <w:p w14:paraId="6B2154A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4514" w:type="dxa"/>
            <w:tcBorders>
              <w:top w:val="nil"/>
              <w:left w:val="nil"/>
              <w:bottom w:val="single" w:color="auto" w:sz="4" w:space="0"/>
              <w:right w:val="single" w:color="auto" w:sz="4" w:space="0"/>
            </w:tcBorders>
            <w:shd w:val="clear" w:color="auto" w:fill="auto"/>
            <w:vAlign w:val="center"/>
          </w:tcPr>
          <w:p w14:paraId="1D212868">
            <w:pPr>
              <w:widowControl/>
              <w:jc w:val="center"/>
              <w:rPr>
                <w:rFonts w:ascii="宋体" w:hAnsi="宋体" w:eastAsia="宋体" w:cs="宋体"/>
                <w:color w:val="000000"/>
                <w:kern w:val="2"/>
                <w:sz w:val="22"/>
                <w:szCs w:val="22"/>
                <w:lang w:val="en-US" w:eastAsia="zh-CN" w:bidi="ar-SA"/>
              </w:rPr>
            </w:pPr>
            <w:r>
              <w:rPr>
                <w:rFonts w:hint="eastAsia" w:ascii="宋体" w:hAnsi="宋体" w:cs="宋体"/>
                <w:color w:val="000000"/>
                <w:kern w:val="0"/>
                <w:sz w:val="22"/>
                <w:szCs w:val="22"/>
                <w:lang w:val="en-US" w:eastAsia="zh-CN"/>
              </w:rPr>
              <w:t>100/5、600/5、1000/5、1500/5、2000/5A</w:t>
            </w:r>
          </w:p>
        </w:tc>
      </w:tr>
      <w:tr w14:paraId="0D0A4230">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5ACE624">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3481" w:type="dxa"/>
            <w:tcBorders>
              <w:top w:val="nil"/>
              <w:left w:val="nil"/>
              <w:bottom w:val="single" w:color="auto" w:sz="4" w:space="0"/>
              <w:right w:val="single" w:color="auto" w:sz="4" w:space="0"/>
            </w:tcBorders>
            <w:shd w:val="clear" w:color="auto" w:fill="auto"/>
            <w:vAlign w:val="center"/>
          </w:tcPr>
          <w:p w14:paraId="1634F245">
            <w:pPr>
              <w:widowControl/>
              <w:jc w:val="left"/>
              <w:rPr>
                <w:rFonts w:hint="eastAsia" w:ascii="宋体" w:hAnsi="宋体" w:eastAsia="宋体" w:cs="宋体"/>
                <w:color w:val="000000"/>
                <w:kern w:val="2"/>
                <w:sz w:val="22"/>
                <w:szCs w:val="22"/>
                <w:lang w:val="en-US" w:eastAsia="zh-CN" w:bidi="ar-SA"/>
              </w:rPr>
            </w:pPr>
            <w:r>
              <w:rPr>
                <w:rFonts w:hint="eastAsia" w:ascii="宋体" w:hAnsi="宋体" w:cs="宋体"/>
                <w:color w:val="000000"/>
                <w:kern w:val="0"/>
                <w:sz w:val="22"/>
                <w:szCs w:val="22"/>
                <w:lang w:val="en-US" w:eastAsia="zh-CN"/>
              </w:rPr>
              <w:t xml:space="preserve">BH-0.66-II型 ( )/5A  0.5S级 </w:t>
            </w:r>
          </w:p>
        </w:tc>
        <w:tc>
          <w:tcPr>
            <w:tcW w:w="900" w:type="dxa"/>
            <w:tcBorders>
              <w:top w:val="nil"/>
              <w:left w:val="nil"/>
              <w:bottom w:val="single" w:color="auto" w:sz="4" w:space="0"/>
              <w:right w:val="single" w:color="auto" w:sz="4" w:space="0"/>
            </w:tcBorders>
            <w:shd w:val="clear" w:color="auto" w:fill="auto"/>
            <w:vAlign w:val="center"/>
          </w:tcPr>
          <w:p w14:paraId="08F4C39A">
            <w:pPr>
              <w:jc w:val="center"/>
              <w:rPr>
                <w:rFonts w:ascii="宋体" w:hAnsi="宋体" w:eastAsia="宋体" w:cs="宋体"/>
                <w:color w:val="000000"/>
                <w:kern w:val="2"/>
                <w:sz w:val="22"/>
                <w:szCs w:val="22"/>
                <w:lang w:val="en-US" w:eastAsia="zh-CN" w:bidi="ar-SA"/>
              </w:rPr>
            </w:pPr>
            <w:r>
              <w:rPr>
                <w:rFonts w:hint="eastAsia"/>
                <w:color w:val="000000"/>
                <w:sz w:val="22"/>
                <w:szCs w:val="22"/>
              </w:rPr>
              <w:t>只</w:t>
            </w:r>
          </w:p>
        </w:tc>
        <w:tc>
          <w:tcPr>
            <w:tcW w:w="900" w:type="dxa"/>
            <w:tcBorders>
              <w:top w:val="nil"/>
              <w:left w:val="nil"/>
              <w:bottom w:val="single" w:color="auto" w:sz="4" w:space="0"/>
              <w:right w:val="single" w:color="auto" w:sz="4" w:space="0"/>
            </w:tcBorders>
            <w:shd w:val="clear" w:color="auto" w:fill="auto"/>
            <w:vAlign w:val="center"/>
          </w:tcPr>
          <w:p w14:paraId="74446DAF">
            <w:pPr>
              <w:jc w:val="center"/>
              <w:rPr>
                <w:rFonts w:ascii="宋体" w:hAnsi="宋体" w:eastAsia="宋体" w:cs="宋体"/>
                <w:color w:val="000000"/>
                <w:kern w:val="2"/>
                <w:sz w:val="22"/>
                <w:szCs w:val="22"/>
                <w:lang w:val="en-US" w:eastAsia="zh-CN" w:bidi="ar-SA"/>
              </w:rPr>
            </w:pPr>
            <w:r>
              <w:rPr>
                <w:rFonts w:hint="eastAsia"/>
                <w:color w:val="000000"/>
                <w:sz w:val="22"/>
                <w:szCs w:val="22"/>
              </w:rPr>
              <w:t>1</w:t>
            </w:r>
          </w:p>
        </w:tc>
        <w:tc>
          <w:tcPr>
            <w:tcW w:w="1091" w:type="dxa"/>
            <w:tcBorders>
              <w:top w:val="nil"/>
              <w:left w:val="nil"/>
              <w:bottom w:val="single" w:color="auto" w:sz="4" w:space="0"/>
              <w:right w:val="single" w:color="auto" w:sz="4" w:space="0"/>
            </w:tcBorders>
            <w:shd w:val="clear" w:color="auto" w:fill="auto"/>
            <w:vAlign w:val="center"/>
          </w:tcPr>
          <w:p w14:paraId="0FBDF05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928" w:type="dxa"/>
            <w:tcBorders>
              <w:top w:val="nil"/>
              <w:left w:val="nil"/>
              <w:bottom w:val="single" w:color="auto" w:sz="4" w:space="0"/>
              <w:right w:val="single" w:color="auto" w:sz="4" w:space="0"/>
            </w:tcBorders>
            <w:shd w:val="clear" w:color="auto" w:fill="auto"/>
            <w:vAlign w:val="center"/>
          </w:tcPr>
          <w:p w14:paraId="57C4ABF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63" w:type="dxa"/>
            <w:tcBorders>
              <w:top w:val="nil"/>
              <w:left w:val="nil"/>
              <w:bottom w:val="single" w:color="auto" w:sz="4" w:space="0"/>
              <w:right w:val="single" w:color="auto" w:sz="4" w:space="0"/>
            </w:tcBorders>
            <w:shd w:val="clear" w:color="auto" w:fill="auto"/>
            <w:vAlign w:val="center"/>
          </w:tcPr>
          <w:p w14:paraId="4F19F91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4514" w:type="dxa"/>
            <w:tcBorders>
              <w:top w:val="nil"/>
              <w:left w:val="nil"/>
              <w:bottom w:val="single" w:color="auto" w:sz="4" w:space="0"/>
              <w:right w:val="single" w:color="auto" w:sz="4" w:space="0"/>
            </w:tcBorders>
            <w:shd w:val="clear" w:color="auto" w:fill="auto"/>
            <w:vAlign w:val="center"/>
          </w:tcPr>
          <w:p w14:paraId="1CBE77A1">
            <w:pPr>
              <w:widowControl/>
              <w:jc w:val="center"/>
              <w:rPr>
                <w:rFonts w:ascii="宋体" w:hAnsi="宋体" w:eastAsia="宋体" w:cs="宋体"/>
                <w:color w:val="000000"/>
                <w:kern w:val="2"/>
                <w:sz w:val="22"/>
                <w:szCs w:val="22"/>
                <w:lang w:val="en-US" w:eastAsia="zh-CN" w:bidi="ar-SA"/>
              </w:rPr>
            </w:pPr>
            <w:r>
              <w:rPr>
                <w:rFonts w:hint="eastAsia" w:ascii="宋体" w:hAnsi="宋体" w:cs="宋体"/>
                <w:color w:val="000000"/>
                <w:kern w:val="0"/>
                <w:sz w:val="22"/>
                <w:szCs w:val="22"/>
                <w:lang w:val="en-US" w:eastAsia="zh-CN"/>
              </w:rPr>
              <w:t>100/5、600/5、1000/5、1500/5、2000/5A</w:t>
            </w:r>
          </w:p>
        </w:tc>
      </w:tr>
      <w:tr w14:paraId="2E46995D">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80CB9FF">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3481" w:type="dxa"/>
            <w:tcBorders>
              <w:top w:val="nil"/>
              <w:left w:val="nil"/>
              <w:bottom w:val="single" w:color="auto" w:sz="4" w:space="0"/>
              <w:right w:val="single" w:color="auto" w:sz="4" w:space="0"/>
            </w:tcBorders>
            <w:shd w:val="clear" w:color="auto" w:fill="auto"/>
            <w:vAlign w:val="center"/>
          </w:tcPr>
          <w:p w14:paraId="1ED9751F">
            <w:pPr>
              <w:widowControl/>
              <w:jc w:val="left"/>
              <w:rPr>
                <w:rFonts w:hint="eastAsia" w:ascii="宋体" w:hAnsi="宋体" w:eastAsia="宋体" w:cs="宋体"/>
                <w:color w:val="000000"/>
                <w:kern w:val="2"/>
                <w:sz w:val="22"/>
                <w:szCs w:val="22"/>
                <w:lang w:val="en-US" w:eastAsia="zh-CN" w:bidi="ar-SA"/>
              </w:rPr>
            </w:pPr>
            <w:r>
              <w:rPr>
                <w:rFonts w:hint="eastAsia" w:ascii="宋体" w:hAnsi="宋体" w:cs="宋体"/>
                <w:color w:val="000000"/>
                <w:kern w:val="0"/>
                <w:sz w:val="22"/>
                <w:szCs w:val="22"/>
                <w:lang w:val="en-US" w:eastAsia="zh-CN"/>
              </w:rPr>
              <w:t xml:space="preserve">LMZJ1-0.5 ( )/5A  0.2级 </w:t>
            </w:r>
          </w:p>
        </w:tc>
        <w:tc>
          <w:tcPr>
            <w:tcW w:w="900" w:type="dxa"/>
            <w:tcBorders>
              <w:top w:val="nil"/>
              <w:left w:val="nil"/>
              <w:bottom w:val="single" w:color="auto" w:sz="4" w:space="0"/>
              <w:right w:val="single" w:color="auto" w:sz="4" w:space="0"/>
            </w:tcBorders>
            <w:shd w:val="clear" w:color="auto" w:fill="auto"/>
            <w:vAlign w:val="center"/>
          </w:tcPr>
          <w:p w14:paraId="5C84CC07">
            <w:pPr>
              <w:jc w:val="center"/>
              <w:rPr>
                <w:rFonts w:ascii="宋体" w:hAnsi="宋体" w:eastAsia="宋体" w:cs="宋体"/>
                <w:color w:val="000000"/>
                <w:kern w:val="2"/>
                <w:sz w:val="22"/>
                <w:szCs w:val="22"/>
                <w:lang w:val="en-US" w:eastAsia="zh-CN" w:bidi="ar-SA"/>
              </w:rPr>
            </w:pPr>
            <w:r>
              <w:rPr>
                <w:rFonts w:hint="eastAsia"/>
                <w:color w:val="000000"/>
                <w:sz w:val="22"/>
                <w:szCs w:val="22"/>
              </w:rPr>
              <w:t>只</w:t>
            </w:r>
          </w:p>
        </w:tc>
        <w:tc>
          <w:tcPr>
            <w:tcW w:w="900" w:type="dxa"/>
            <w:tcBorders>
              <w:top w:val="nil"/>
              <w:left w:val="nil"/>
              <w:bottom w:val="single" w:color="auto" w:sz="4" w:space="0"/>
              <w:right w:val="single" w:color="auto" w:sz="4" w:space="0"/>
            </w:tcBorders>
            <w:shd w:val="clear" w:color="auto" w:fill="auto"/>
            <w:vAlign w:val="center"/>
          </w:tcPr>
          <w:p w14:paraId="6F0B4DC4">
            <w:pPr>
              <w:jc w:val="center"/>
              <w:rPr>
                <w:rFonts w:ascii="宋体" w:hAnsi="宋体" w:eastAsia="宋体" w:cs="宋体"/>
                <w:color w:val="000000"/>
                <w:kern w:val="2"/>
                <w:sz w:val="22"/>
                <w:szCs w:val="22"/>
                <w:lang w:val="en-US" w:eastAsia="zh-CN" w:bidi="ar-SA"/>
              </w:rPr>
            </w:pPr>
            <w:r>
              <w:rPr>
                <w:rFonts w:hint="eastAsia"/>
                <w:color w:val="000000"/>
                <w:sz w:val="22"/>
                <w:szCs w:val="22"/>
              </w:rPr>
              <w:t>1</w:t>
            </w:r>
          </w:p>
        </w:tc>
        <w:tc>
          <w:tcPr>
            <w:tcW w:w="1091" w:type="dxa"/>
            <w:tcBorders>
              <w:top w:val="nil"/>
              <w:left w:val="nil"/>
              <w:bottom w:val="single" w:color="auto" w:sz="4" w:space="0"/>
              <w:right w:val="single" w:color="auto" w:sz="4" w:space="0"/>
            </w:tcBorders>
            <w:shd w:val="clear" w:color="auto" w:fill="auto"/>
            <w:vAlign w:val="center"/>
          </w:tcPr>
          <w:p w14:paraId="7691EEB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928" w:type="dxa"/>
            <w:tcBorders>
              <w:top w:val="nil"/>
              <w:left w:val="nil"/>
              <w:bottom w:val="single" w:color="auto" w:sz="4" w:space="0"/>
              <w:right w:val="single" w:color="auto" w:sz="4" w:space="0"/>
            </w:tcBorders>
            <w:shd w:val="clear" w:color="auto" w:fill="auto"/>
            <w:vAlign w:val="center"/>
          </w:tcPr>
          <w:p w14:paraId="1D7E094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63" w:type="dxa"/>
            <w:tcBorders>
              <w:top w:val="nil"/>
              <w:left w:val="nil"/>
              <w:bottom w:val="single" w:color="auto" w:sz="4" w:space="0"/>
              <w:right w:val="single" w:color="auto" w:sz="4" w:space="0"/>
            </w:tcBorders>
            <w:shd w:val="clear" w:color="auto" w:fill="auto"/>
            <w:vAlign w:val="center"/>
          </w:tcPr>
          <w:p w14:paraId="638CADE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4514" w:type="dxa"/>
            <w:tcBorders>
              <w:top w:val="nil"/>
              <w:left w:val="nil"/>
              <w:bottom w:val="single" w:color="auto" w:sz="4" w:space="0"/>
              <w:right w:val="single" w:color="auto" w:sz="4" w:space="0"/>
            </w:tcBorders>
            <w:shd w:val="clear" w:color="auto" w:fill="auto"/>
            <w:vAlign w:val="center"/>
          </w:tcPr>
          <w:p w14:paraId="6496B996">
            <w:pPr>
              <w:widowControl/>
              <w:jc w:val="center"/>
              <w:rPr>
                <w:rFonts w:ascii="宋体" w:hAnsi="宋体" w:eastAsia="宋体" w:cs="宋体"/>
                <w:color w:val="000000"/>
                <w:kern w:val="2"/>
                <w:sz w:val="22"/>
                <w:szCs w:val="22"/>
                <w:lang w:val="en-US" w:eastAsia="zh-CN" w:bidi="ar-SA"/>
              </w:rPr>
            </w:pPr>
            <w:r>
              <w:rPr>
                <w:rFonts w:hint="eastAsia" w:ascii="宋体" w:hAnsi="宋体" w:cs="宋体"/>
                <w:color w:val="000000"/>
                <w:kern w:val="0"/>
                <w:sz w:val="22"/>
                <w:szCs w:val="22"/>
                <w:lang w:val="en-US" w:eastAsia="zh-CN"/>
              </w:rPr>
              <w:t>100/5、600/5、1000/5、1500/5、2000/5A</w:t>
            </w:r>
          </w:p>
        </w:tc>
      </w:tr>
      <w:tr w14:paraId="4321F8A6">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104743C">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3481" w:type="dxa"/>
            <w:tcBorders>
              <w:top w:val="nil"/>
              <w:left w:val="nil"/>
              <w:bottom w:val="single" w:color="auto" w:sz="4" w:space="0"/>
              <w:right w:val="single" w:color="auto" w:sz="4" w:space="0"/>
            </w:tcBorders>
            <w:shd w:val="clear" w:color="auto" w:fill="auto"/>
            <w:vAlign w:val="center"/>
          </w:tcPr>
          <w:p w14:paraId="50CCD345">
            <w:pPr>
              <w:widowControl/>
              <w:jc w:val="left"/>
              <w:rPr>
                <w:rFonts w:hint="eastAsia" w:ascii="宋体" w:hAnsi="宋体" w:eastAsia="宋体" w:cs="宋体"/>
                <w:color w:val="000000"/>
                <w:kern w:val="2"/>
                <w:sz w:val="22"/>
                <w:szCs w:val="22"/>
                <w:lang w:val="en-US" w:eastAsia="zh-CN" w:bidi="ar-SA"/>
              </w:rPr>
            </w:pPr>
            <w:r>
              <w:rPr>
                <w:rFonts w:hint="eastAsia" w:ascii="宋体" w:hAnsi="宋体" w:cs="宋体"/>
                <w:color w:val="000000"/>
                <w:kern w:val="0"/>
                <w:sz w:val="22"/>
                <w:szCs w:val="22"/>
                <w:lang w:val="en-US" w:eastAsia="zh-CN"/>
              </w:rPr>
              <w:t xml:space="preserve">LMZJ1-0.5 ( )/5A  0.2S级 </w:t>
            </w:r>
          </w:p>
        </w:tc>
        <w:tc>
          <w:tcPr>
            <w:tcW w:w="900" w:type="dxa"/>
            <w:tcBorders>
              <w:top w:val="nil"/>
              <w:left w:val="nil"/>
              <w:bottom w:val="single" w:color="auto" w:sz="4" w:space="0"/>
              <w:right w:val="single" w:color="auto" w:sz="4" w:space="0"/>
            </w:tcBorders>
            <w:shd w:val="clear" w:color="auto" w:fill="auto"/>
            <w:vAlign w:val="center"/>
          </w:tcPr>
          <w:p w14:paraId="3459B08C">
            <w:pPr>
              <w:jc w:val="center"/>
              <w:rPr>
                <w:rFonts w:ascii="宋体" w:hAnsi="宋体" w:eastAsia="宋体" w:cs="宋体"/>
                <w:color w:val="000000"/>
                <w:kern w:val="2"/>
                <w:sz w:val="22"/>
                <w:szCs w:val="22"/>
                <w:lang w:val="en-US" w:eastAsia="zh-CN" w:bidi="ar-SA"/>
              </w:rPr>
            </w:pPr>
            <w:r>
              <w:rPr>
                <w:rFonts w:hint="eastAsia"/>
                <w:color w:val="000000"/>
                <w:sz w:val="22"/>
                <w:szCs w:val="22"/>
              </w:rPr>
              <w:t>只</w:t>
            </w:r>
          </w:p>
        </w:tc>
        <w:tc>
          <w:tcPr>
            <w:tcW w:w="900" w:type="dxa"/>
            <w:tcBorders>
              <w:top w:val="nil"/>
              <w:left w:val="nil"/>
              <w:bottom w:val="single" w:color="auto" w:sz="4" w:space="0"/>
              <w:right w:val="single" w:color="auto" w:sz="4" w:space="0"/>
            </w:tcBorders>
            <w:shd w:val="clear" w:color="auto" w:fill="auto"/>
            <w:vAlign w:val="center"/>
          </w:tcPr>
          <w:p w14:paraId="3661AC75">
            <w:pPr>
              <w:jc w:val="center"/>
              <w:rPr>
                <w:rFonts w:ascii="宋体" w:hAnsi="宋体" w:eastAsia="宋体" w:cs="宋体"/>
                <w:color w:val="000000"/>
                <w:kern w:val="2"/>
                <w:sz w:val="22"/>
                <w:szCs w:val="22"/>
                <w:lang w:val="en-US" w:eastAsia="zh-CN" w:bidi="ar-SA"/>
              </w:rPr>
            </w:pPr>
            <w:r>
              <w:rPr>
                <w:rFonts w:hint="eastAsia"/>
                <w:color w:val="000000"/>
                <w:sz w:val="22"/>
                <w:szCs w:val="22"/>
              </w:rPr>
              <w:t>1</w:t>
            </w:r>
          </w:p>
        </w:tc>
        <w:tc>
          <w:tcPr>
            <w:tcW w:w="1091" w:type="dxa"/>
            <w:tcBorders>
              <w:top w:val="nil"/>
              <w:left w:val="nil"/>
              <w:bottom w:val="single" w:color="auto" w:sz="4" w:space="0"/>
              <w:right w:val="single" w:color="auto" w:sz="4" w:space="0"/>
            </w:tcBorders>
            <w:shd w:val="clear" w:color="auto" w:fill="auto"/>
            <w:vAlign w:val="center"/>
          </w:tcPr>
          <w:p w14:paraId="507AA5B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928" w:type="dxa"/>
            <w:tcBorders>
              <w:top w:val="nil"/>
              <w:left w:val="nil"/>
              <w:bottom w:val="single" w:color="auto" w:sz="4" w:space="0"/>
              <w:right w:val="single" w:color="auto" w:sz="4" w:space="0"/>
            </w:tcBorders>
            <w:shd w:val="clear" w:color="auto" w:fill="auto"/>
            <w:vAlign w:val="center"/>
          </w:tcPr>
          <w:p w14:paraId="680558B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63" w:type="dxa"/>
            <w:tcBorders>
              <w:top w:val="nil"/>
              <w:left w:val="nil"/>
              <w:bottom w:val="single" w:color="auto" w:sz="4" w:space="0"/>
              <w:right w:val="single" w:color="auto" w:sz="4" w:space="0"/>
            </w:tcBorders>
            <w:shd w:val="clear" w:color="auto" w:fill="auto"/>
            <w:vAlign w:val="center"/>
          </w:tcPr>
          <w:p w14:paraId="32ADC6D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4514" w:type="dxa"/>
            <w:tcBorders>
              <w:top w:val="nil"/>
              <w:left w:val="nil"/>
              <w:bottom w:val="single" w:color="auto" w:sz="4" w:space="0"/>
              <w:right w:val="single" w:color="auto" w:sz="4" w:space="0"/>
            </w:tcBorders>
            <w:shd w:val="clear" w:color="auto" w:fill="auto"/>
            <w:vAlign w:val="center"/>
          </w:tcPr>
          <w:p w14:paraId="3003EF37">
            <w:pPr>
              <w:widowControl/>
              <w:jc w:val="center"/>
              <w:rPr>
                <w:rFonts w:ascii="宋体" w:hAnsi="宋体" w:eastAsia="宋体" w:cs="宋体"/>
                <w:color w:val="000000"/>
                <w:kern w:val="2"/>
                <w:sz w:val="22"/>
                <w:szCs w:val="22"/>
                <w:lang w:val="en-US" w:eastAsia="zh-CN" w:bidi="ar-SA"/>
              </w:rPr>
            </w:pPr>
            <w:r>
              <w:rPr>
                <w:rFonts w:hint="eastAsia" w:ascii="宋体" w:hAnsi="宋体" w:cs="宋体"/>
                <w:color w:val="000000"/>
                <w:kern w:val="0"/>
                <w:sz w:val="22"/>
                <w:szCs w:val="22"/>
                <w:lang w:val="en-US" w:eastAsia="zh-CN"/>
              </w:rPr>
              <w:t>100/5、600/5、1000/5、1500/5、2000/5A</w:t>
            </w:r>
          </w:p>
        </w:tc>
      </w:tr>
      <w:tr w14:paraId="09C4AF22">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D06C58A">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7</w:t>
            </w:r>
          </w:p>
        </w:tc>
        <w:tc>
          <w:tcPr>
            <w:tcW w:w="3481" w:type="dxa"/>
            <w:tcBorders>
              <w:top w:val="nil"/>
              <w:left w:val="nil"/>
              <w:bottom w:val="single" w:color="auto" w:sz="4" w:space="0"/>
              <w:right w:val="single" w:color="auto" w:sz="4" w:space="0"/>
            </w:tcBorders>
            <w:shd w:val="clear" w:color="auto" w:fill="auto"/>
            <w:vAlign w:val="center"/>
          </w:tcPr>
          <w:p w14:paraId="69CF6FCF">
            <w:pPr>
              <w:widowControl/>
              <w:jc w:val="left"/>
              <w:rPr>
                <w:rFonts w:hint="eastAsia" w:ascii="Times New Roman" w:hAnsi="Times New Roman" w:eastAsia="宋体" w:cs="Times New Roman"/>
                <w:color w:val="000000"/>
                <w:kern w:val="2"/>
                <w:sz w:val="22"/>
                <w:szCs w:val="22"/>
                <w:lang w:val="en-US" w:eastAsia="zh-CN" w:bidi="ar-SA"/>
              </w:rPr>
            </w:pPr>
            <w:r>
              <w:rPr>
                <w:rFonts w:hint="eastAsia" w:ascii="宋体" w:hAnsi="宋体" w:cs="宋体"/>
                <w:color w:val="000000"/>
                <w:kern w:val="0"/>
                <w:sz w:val="22"/>
                <w:szCs w:val="22"/>
                <w:lang w:val="en-US" w:eastAsia="zh-CN"/>
              </w:rPr>
              <w:t xml:space="preserve">LMZJ1-0.5 ( )/5A  0.5级 </w:t>
            </w:r>
          </w:p>
        </w:tc>
        <w:tc>
          <w:tcPr>
            <w:tcW w:w="900" w:type="dxa"/>
            <w:tcBorders>
              <w:top w:val="nil"/>
              <w:left w:val="nil"/>
              <w:bottom w:val="single" w:color="auto" w:sz="4" w:space="0"/>
              <w:right w:val="single" w:color="auto" w:sz="4" w:space="0"/>
            </w:tcBorders>
            <w:shd w:val="clear" w:color="auto" w:fill="auto"/>
            <w:vAlign w:val="center"/>
          </w:tcPr>
          <w:p w14:paraId="508DC28D">
            <w:pPr>
              <w:jc w:val="center"/>
              <w:rPr>
                <w:rFonts w:hint="eastAsia" w:ascii="Times New Roman" w:hAnsi="Times New Roman" w:eastAsia="宋体" w:cs="Times New Roman"/>
                <w:color w:val="000000"/>
                <w:kern w:val="2"/>
                <w:sz w:val="22"/>
                <w:szCs w:val="22"/>
                <w:lang w:val="en-US" w:eastAsia="zh-CN" w:bidi="ar-SA"/>
              </w:rPr>
            </w:pPr>
            <w:r>
              <w:rPr>
                <w:rFonts w:hint="eastAsia"/>
                <w:color w:val="000000"/>
                <w:sz w:val="22"/>
                <w:szCs w:val="22"/>
              </w:rPr>
              <w:t>只</w:t>
            </w:r>
          </w:p>
        </w:tc>
        <w:tc>
          <w:tcPr>
            <w:tcW w:w="900" w:type="dxa"/>
            <w:tcBorders>
              <w:top w:val="nil"/>
              <w:left w:val="nil"/>
              <w:bottom w:val="single" w:color="auto" w:sz="4" w:space="0"/>
              <w:right w:val="single" w:color="auto" w:sz="4" w:space="0"/>
            </w:tcBorders>
            <w:shd w:val="clear" w:color="auto" w:fill="auto"/>
            <w:vAlign w:val="center"/>
          </w:tcPr>
          <w:p w14:paraId="5168CDB5">
            <w:pPr>
              <w:jc w:val="center"/>
              <w:rPr>
                <w:rFonts w:hint="eastAsia" w:ascii="Times New Roman" w:hAnsi="Times New Roman" w:eastAsia="宋体" w:cs="Times New Roman"/>
                <w:color w:val="000000"/>
                <w:kern w:val="2"/>
                <w:sz w:val="22"/>
                <w:szCs w:val="22"/>
                <w:lang w:val="en-US" w:eastAsia="zh-CN" w:bidi="ar-SA"/>
              </w:rPr>
            </w:pPr>
            <w:r>
              <w:rPr>
                <w:rFonts w:hint="eastAsia"/>
                <w:color w:val="000000"/>
                <w:sz w:val="22"/>
                <w:szCs w:val="22"/>
              </w:rPr>
              <w:t>1</w:t>
            </w:r>
          </w:p>
        </w:tc>
        <w:tc>
          <w:tcPr>
            <w:tcW w:w="1091" w:type="dxa"/>
            <w:tcBorders>
              <w:top w:val="nil"/>
              <w:left w:val="nil"/>
              <w:bottom w:val="single" w:color="auto" w:sz="4" w:space="0"/>
              <w:right w:val="single" w:color="auto" w:sz="4" w:space="0"/>
            </w:tcBorders>
            <w:shd w:val="clear" w:color="auto" w:fill="auto"/>
            <w:vAlign w:val="center"/>
          </w:tcPr>
          <w:p w14:paraId="57482162">
            <w:pPr>
              <w:widowControl/>
              <w:jc w:val="left"/>
              <w:rPr>
                <w:rFonts w:hint="eastAsia" w:ascii="宋体" w:hAnsi="宋体" w:cs="宋体"/>
                <w:color w:val="000000"/>
                <w:kern w:val="0"/>
                <w:sz w:val="22"/>
                <w:szCs w:val="22"/>
              </w:rPr>
            </w:pPr>
          </w:p>
        </w:tc>
        <w:tc>
          <w:tcPr>
            <w:tcW w:w="928" w:type="dxa"/>
            <w:tcBorders>
              <w:top w:val="nil"/>
              <w:left w:val="nil"/>
              <w:bottom w:val="single" w:color="auto" w:sz="4" w:space="0"/>
              <w:right w:val="single" w:color="auto" w:sz="4" w:space="0"/>
            </w:tcBorders>
            <w:shd w:val="clear" w:color="auto" w:fill="auto"/>
            <w:vAlign w:val="center"/>
          </w:tcPr>
          <w:p w14:paraId="015A734E">
            <w:pPr>
              <w:widowControl/>
              <w:jc w:val="left"/>
              <w:rPr>
                <w:rFonts w:ascii="宋体" w:hAnsi="宋体" w:cs="宋体"/>
                <w:color w:val="000000"/>
                <w:kern w:val="0"/>
                <w:sz w:val="22"/>
                <w:szCs w:val="22"/>
              </w:rPr>
            </w:pPr>
          </w:p>
        </w:tc>
        <w:tc>
          <w:tcPr>
            <w:tcW w:w="1363" w:type="dxa"/>
            <w:tcBorders>
              <w:top w:val="nil"/>
              <w:left w:val="nil"/>
              <w:bottom w:val="single" w:color="auto" w:sz="4" w:space="0"/>
              <w:right w:val="single" w:color="auto" w:sz="4" w:space="0"/>
            </w:tcBorders>
            <w:shd w:val="clear" w:color="auto" w:fill="auto"/>
            <w:vAlign w:val="center"/>
          </w:tcPr>
          <w:p w14:paraId="12E7885C">
            <w:pPr>
              <w:widowControl/>
              <w:jc w:val="left"/>
              <w:rPr>
                <w:rFonts w:ascii="宋体" w:hAnsi="宋体" w:cs="宋体"/>
                <w:color w:val="000000"/>
                <w:kern w:val="0"/>
                <w:sz w:val="22"/>
                <w:szCs w:val="22"/>
              </w:rPr>
            </w:pPr>
          </w:p>
        </w:tc>
        <w:tc>
          <w:tcPr>
            <w:tcW w:w="4514" w:type="dxa"/>
            <w:tcBorders>
              <w:top w:val="nil"/>
              <w:left w:val="nil"/>
              <w:bottom w:val="single" w:color="auto" w:sz="4" w:space="0"/>
              <w:right w:val="single" w:color="auto" w:sz="4" w:space="0"/>
            </w:tcBorders>
            <w:shd w:val="clear" w:color="auto" w:fill="auto"/>
            <w:vAlign w:val="center"/>
          </w:tcPr>
          <w:p w14:paraId="188F0319">
            <w:pPr>
              <w:widowControl/>
              <w:jc w:val="center"/>
              <w:rPr>
                <w:rFonts w:hint="eastAsia" w:ascii="Times New Roman" w:hAnsi="Times New Roman" w:eastAsia="宋体" w:cs="Times New Roman"/>
                <w:color w:val="000000"/>
                <w:kern w:val="2"/>
                <w:sz w:val="22"/>
                <w:szCs w:val="22"/>
                <w:lang w:val="en-US" w:eastAsia="zh-CN" w:bidi="ar-SA"/>
              </w:rPr>
            </w:pPr>
            <w:r>
              <w:rPr>
                <w:rFonts w:hint="eastAsia" w:ascii="宋体" w:hAnsi="宋体" w:cs="宋体"/>
                <w:color w:val="000000"/>
                <w:kern w:val="0"/>
                <w:sz w:val="22"/>
                <w:szCs w:val="22"/>
                <w:lang w:val="en-US" w:eastAsia="zh-CN"/>
              </w:rPr>
              <w:t>100/5、600/5、1000/5、1500/5、2000/5A</w:t>
            </w:r>
          </w:p>
        </w:tc>
      </w:tr>
      <w:tr w14:paraId="6DF45ED7">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F1D19E8">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8</w:t>
            </w:r>
          </w:p>
        </w:tc>
        <w:tc>
          <w:tcPr>
            <w:tcW w:w="3481" w:type="dxa"/>
            <w:tcBorders>
              <w:top w:val="nil"/>
              <w:left w:val="nil"/>
              <w:bottom w:val="single" w:color="auto" w:sz="4" w:space="0"/>
              <w:right w:val="single" w:color="auto" w:sz="4" w:space="0"/>
            </w:tcBorders>
            <w:shd w:val="clear" w:color="auto" w:fill="auto"/>
            <w:vAlign w:val="center"/>
          </w:tcPr>
          <w:p w14:paraId="53771108">
            <w:pPr>
              <w:widowControl/>
              <w:jc w:val="left"/>
              <w:rPr>
                <w:rFonts w:hint="eastAsia" w:ascii="Times New Roman" w:hAnsi="Times New Roman" w:eastAsia="宋体" w:cs="Times New Roman"/>
                <w:color w:val="000000"/>
                <w:kern w:val="2"/>
                <w:sz w:val="22"/>
                <w:szCs w:val="22"/>
                <w:lang w:val="en-US" w:eastAsia="zh-CN" w:bidi="ar-SA"/>
              </w:rPr>
            </w:pPr>
            <w:r>
              <w:rPr>
                <w:rFonts w:hint="eastAsia" w:ascii="宋体" w:hAnsi="宋体" w:cs="宋体"/>
                <w:color w:val="000000"/>
                <w:kern w:val="0"/>
                <w:sz w:val="22"/>
                <w:szCs w:val="22"/>
                <w:lang w:val="en-US" w:eastAsia="zh-CN"/>
              </w:rPr>
              <w:t xml:space="preserve">LMZJ1-0.5 ( )/5A  0.5S级 </w:t>
            </w:r>
          </w:p>
        </w:tc>
        <w:tc>
          <w:tcPr>
            <w:tcW w:w="900" w:type="dxa"/>
            <w:tcBorders>
              <w:top w:val="nil"/>
              <w:left w:val="nil"/>
              <w:bottom w:val="single" w:color="auto" w:sz="4" w:space="0"/>
              <w:right w:val="single" w:color="auto" w:sz="4" w:space="0"/>
            </w:tcBorders>
            <w:shd w:val="clear" w:color="auto" w:fill="auto"/>
            <w:vAlign w:val="center"/>
          </w:tcPr>
          <w:p w14:paraId="672FD4DE">
            <w:pPr>
              <w:jc w:val="center"/>
              <w:rPr>
                <w:rFonts w:hint="eastAsia" w:ascii="Times New Roman" w:hAnsi="Times New Roman" w:eastAsia="宋体" w:cs="Times New Roman"/>
                <w:color w:val="000000"/>
                <w:kern w:val="2"/>
                <w:sz w:val="22"/>
                <w:szCs w:val="22"/>
                <w:lang w:val="en-US" w:eastAsia="zh-CN" w:bidi="ar-SA"/>
              </w:rPr>
            </w:pPr>
            <w:r>
              <w:rPr>
                <w:rFonts w:hint="eastAsia"/>
                <w:color w:val="000000"/>
                <w:sz w:val="22"/>
                <w:szCs w:val="22"/>
              </w:rPr>
              <w:t>只</w:t>
            </w:r>
          </w:p>
        </w:tc>
        <w:tc>
          <w:tcPr>
            <w:tcW w:w="900" w:type="dxa"/>
            <w:tcBorders>
              <w:top w:val="nil"/>
              <w:left w:val="nil"/>
              <w:bottom w:val="single" w:color="auto" w:sz="4" w:space="0"/>
              <w:right w:val="single" w:color="auto" w:sz="4" w:space="0"/>
            </w:tcBorders>
            <w:shd w:val="clear" w:color="auto" w:fill="auto"/>
            <w:vAlign w:val="center"/>
          </w:tcPr>
          <w:p w14:paraId="7A18F304">
            <w:pPr>
              <w:jc w:val="center"/>
              <w:rPr>
                <w:rFonts w:hint="eastAsia" w:ascii="Times New Roman" w:hAnsi="Times New Roman" w:eastAsia="宋体" w:cs="Times New Roman"/>
                <w:color w:val="000000"/>
                <w:kern w:val="2"/>
                <w:sz w:val="22"/>
                <w:szCs w:val="22"/>
                <w:lang w:val="en-US" w:eastAsia="zh-CN" w:bidi="ar-SA"/>
              </w:rPr>
            </w:pPr>
            <w:r>
              <w:rPr>
                <w:rFonts w:hint="eastAsia"/>
                <w:color w:val="000000"/>
                <w:sz w:val="22"/>
                <w:szCs w:val="22"/>
              </w:rPr>
              <w:t>1</w:t>
            </w:r>
          </w:p>
        </w:tc>
        <w:tc>
          <w:tcPr>
            <w:tcW w:w="1091" w:type="dxa"/>
            <w:tcBorders>
              <w:top w:val="nil"/>
              <w:left w:val="nil"/>
              <w:bottom w:val="single" w:color="auto" w:sz="4" w:space="0"/>
              <w:right w:val="single" w:color="auto" w:sz="4" w:space="0"/>
            </w:tcBorders>
            <w:shd w:val="clear" w:color="auto" w:fill="auto"/>
            <w:vAlign w:val="center"/>
          </w:tcPr>
          <w:p w14:paraId="3C63CB62">
            <w:pPr>
              <w:widowControl/>
              <w:jc w:val="left"/>
              <w:rPr>
                <w:rFonts w:hint="eastAsia" w:ascii="宋体" w:hAnsi="宋体" w:cs="宋体"/>
                <w:color w:val="000000"/>
                <w:kern w:val="0"/>
                <w:sz w:val="22"/>
                <w:szCs w:val="22"/>
              </w:rPr>
            </w:pPr>
          </w:p>
        </w:tc>
        <w:tc>
          <w:tcPr>
            <w:tcW w:w="928" w:type="dxa"/>
            <w:tcBorders>
              <w:top w:val="nil"/>
              <w:left w:val="nil"/>
              <w:bottom w:val="single" w:color="auto" w:sz="4" w:space="0"/>
              <w:right w:val="single" w:color="auto" w:sz="4" w:space="0"/>
            </w:tcBorders>
            <w:shd w:val="clear" w:color="auto" w:fill="auto"/>
            <w:vAlign w:val="center"/>
          </w:tcPr>
          <w:p w14:paraId="219C4102">
            <w:pPr>
              <w:widowControl/>
              <w:jc w:val="left"/>
              <w:rPr>
                <w:rFonts w:ascii="宋体" w:hAnsi="宋体" w:cs="宋体"/>
                <w:color w:val="000000"/>
                <w:kern w:val="0"/>
                <w:sz w:val="22"/>
                <w:szCs w:val="22"/>
              </w:rPr>
            </w:pPr>
          </w:p>
        </w:tc>
        <w:tc>
          <w:tcPr>
            <w:tcW w:w="1363" w:type="dxa"/>
            <w:tcBorders>
              <w:top w:val="nil"/>
              <w:left w:val="nil"/>
              <w:bottom w:val="single" w:color="auto" w:sz="4" w:space="0"/>
              <w:right w:val="single" w:color="auto" w:sz="4" w:space="0"/>
            </w:tcBorders>
            <w:shd w:val="clear" w:color="auto" w:fill="auto"/>
            <w:vAlign w:val="center"/>
          </w:tcPr>
          <w:p w14:paraId="28CF0138">
            <w:pPr>
              <w:widowControl/>
              <w:jc w:val="left"/>
              <w:rPr>
                <w:rFonts w:ascii="宋体" w:hAnsi="宋体" w:cs="宋体"/>
                <w:color w:val="000000"/>
                <w:kern w:val="0"/>
                <w:sz w:val="22"/>
                <w:szCs w:val="22"/>
              </w:rPr>
            </w:pPr>
          </w:p>
        </w:tc>
        <w:tc>
          <w:tcPr>
            <w:tcW w:w="4514" w:type="dxa"/>
            <w:tcBorders>
              <w:top w:val="nil"/>
              <w:left w:val="nil"/>
              <w:bottom w:val="single" w:color="auto" w:sz="4" w:space="0"/>
              <w:right w:val="single" w:color="auto" w:sz="4" w:space="0"/>
            </w:tcBorders>
            <w:shd w:val="clear" w:color="auto" w:fill="auto"/>
            <w:vAlign w:val="center"/>
          </w:tcPr>
          <w:p w14:paraId="1AA6A29A">
            <w:pPr>
              <w:widowControl/>
              <w:jc w:val="center"/>
              <w:rPr>
                <w:rFonts w:hint="eastAsia" w:ascii="Times New Roman" w:hAnsi="Times New Roman" w:eastAsia="宋体" w:cs="Times New Roman"/>
                <w:color w:val="000000"/>
                <w:kern w:val="2"/>
                <w:sz w:val="22"/>
                <w:szCs w:val="22"/>
                <w:lang w:val="en-US" w:eastAsia="zh-CN" w:bidi="ar-SA"/>
              </w:rPr>
            </w:pPr>
            <w:r>
              <w:rPr>
                <w:rFonts w:hint="eastAsia" w:ascii="宋体" w:hAnsi="宋体" w:cs="宋体"/>
                <w:color w:val="000000"/>
                <w:kern w:val="0"/>
                <w:sz w:val="22"/>
                <w:szCs w:val="22"/>
                <w:lang w:val="en-US" w:eastAsia="zh-CN"/>
              </w:rPr>
              <w:t>100/5、600/5、1000/5、1500/5、2000/5A</w:t>
            </w:r>
          </w:p>
        </w:tc>
      </w:tr>
      <w:tr w14:paraId="747DE0B1">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99602B4">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w:t>
            </w:r>
          </w:p>
        </w:tc>
        <w:tc>
          <w:tcPr>
            <w:tcW w:w="3481" w:type="dxa"/>
            <w:tcBorders>
              <w:top w:val="nil"/>
              <w:left w:val="nil"/>
              <w:bottom w:val="single" w:color="auto" w:sz="4" w:space="0"/>
              <w:right w:val="single" w:color="auto" w:sz="4" w:space="0"/>
            </w:tcBorders>
            <w:shd w:val="clear" w:color="auto" w:fill="auto"/>
            <w:vAlign w:val="center"/>
          </w:tcPr>
          <w:p w14:paraId="009D6A64">
            <w:pPr>
              <w:widowControl/>
              <w:jc w:val="left"/>
              <w:rPr>
                <w:rFonts w:hint="default" w:ascii="宋体" w:hAnsi="宋体" w:cs="宋体"/>
                <w:color w:val="000000"/>
                <w:kern w:val="0"/>
                <w:sz w:val="22"/>
                <w:szCs w:val="22"/>
                <w:lang w:val="en-US" w:eastAsia="zh-CN"/>
              </w:rPr>
            </w:pPr>
          </w:p>
        </w:tc>
        <w:tc>
          <w:tcPr>
            <w:tcW w:w="900" w:type="dxa"/>
            <w:tcBorders>
              <w:top w:val="nil"/>
              <w:left w:val="nil"/>
              <w:bottom w:val="single" w:color="auto" w:sz="4" w:space="0"/>
              <w:right w:val="single" w:color="auto" w:sz="4" w:space="0"/>
            </w:tcBorders>
            <w:shd w:val="clear" w:color="auto" w:fill="auto"/>
            <w:vAlign w:val="center"/>
          </w:tcPr>
          <w:p w14:paraId="39356B2B">
            <w:pPr>
              <w:widowControl/>
              <w:jc w:val="center"/>
              <w:rPr>
                <w:rFonts w:hint="eastAsia" w:ascii="宋体" w:hAnsi="宋体" w:eastAsia="宋体" w:cs="宋体"/>
                <w:color w:val="000000"/>
                <w:kern w:val="0"/>
                <w:sz w:val="22"/>
                <w:szCs w:val="22"/>
                <w:lang w:val="en-US" w:eastAsia="zh-CN"/>
              </w:rPr>
            </w:pPr>
          </w:p>
        </w:tc>
        <w:tc>
          <w:tcPr>
            <w:tcW w:w="900" w:type="dxa"/>
            <w:tcBorders>
              <w:top w:val="nil"/>
              <w:left w:val="nil"/>
              <w:bottom w:val="single" w:color="auto" w:sz="4" w:space="0"/>
              <w:right w:val="single" w:color="auto" w:sz="4" w:space="0"/>
            </w:tcBorders>
            <w:shd w:val="clear" w:color="auto" w:fill="auto"/>
            <w:vAlign w:val="center"/>
          </w:tcPr>
          <w:p w14:paraId="2558A177">
            <w:pPr>
              <w:widowControl/>
              <w:jc w:val="center"/>
              <w:rPr>
                <w:rFonts w:hint="eastAsia" w:ascii="宋体" w:hAnsi="宋体" w:eastAsia="宋体" w:cs="宋体"/>
                <w:color w:val="000000"/>
                <w:kern w:val="0"/>
                <w:sz w:val="22"/>
                <w:szCs w:val="22"/>
                <w:lang w:val="en-US" w:eastAsia="zh-CN"/>
              </w:rPr>
            </w:pPr>
          </w:p>
        </w:tc>
        <w:tc>
          <w:tcPr>
            <w:tcW w:w="1091" w:type="dxa"/>
            <w:tcBorders>
              <w:top w:val="nil"/>
              <w:left w:val="nil"/>
              <w:bottom w:val="single" w:color="auto" w:sz="4" w:space="0"/>
              <w:right w:val="single" w:color="auto" w:sz="4" w:space="0"/>
            </w:tcBorders>
            <w:shd w:val="clear" w:color="auto" w:fill="auto"/>
            <w:vAlign w:val="center"/>
          </w:tcPr>
          <w:p w14:paraId="772B795E">
            <w:pPr>
              <w:widowControl/>
              <w:jc w:val="left"/>
              <w:rPr>
                <w:rFonts w:hint="eastAsia" w:ascii="宋体" w:hAnsi="宋体" w:cs="宋体"/>
                <w:color w:val="000000"/>
                <w:kern w:val="0"/>
                <w:sz w:val="22"/>
                <w:szCs w:val="22"/>
              </w:rPr>
            </w:pPr>
          </w:p>
        </w:tc>
        <w:tc>
          <w:tcPr>
            <w:tcW w:w="928" w:type="dxa"/>
            <w:tcBorders>
              <w:top w:val="nil"/>
              <w:left w:val="nil"/>
              <w:bottom w:val="single" w:color="auto" w:sz="4" w:space="0"/>
              <w:right w:val="single" w:color="auto" w:sz="4" w:space="0"/>
            </w:tcBorders>
            <w:shd w:val="clear" w:color="auto" w:fill="auto"/>
            <w:vAlign w:val="center"/>
          </w:tcPr>
          <w:p w14:paraId="7CB2C8D5">
            <w:pPr>
              <w:widowControl/>
              <w:jc w:val="left"/>
              <w:rPr>
                <w:rFonts w:ascii="宋体" w:hAnsi="宋体" w:cs="宋体"/>
                <w:color w:val="000000"/>
                <w:kern w:val="0"/>
                <w:sz w:val="22"/>
                <w:szCs w:val="22"/>
              </w:rPr>
            </w:pPr>
          </w:p>
        </w:tc>
        <w:tc>
          <w:tcPr>
            <w:tcW w:w="1363" w:type="dxa"/>
            <w:tcBorders>
              <w:top w:val="nil"/>
              <w:left w:val="nil"/>
              <w:bottom w:val="single" w:color="auto" w:sz="4" w:space="0"/>
              <w:right w:val="single" w:color="auto" w:sz="4" w:space="0"/>
            </w:tcBorders>
            <w:shd w:val="clear" w:color="auto" w:fill="auto"/>
            <w:vAlign w:val="center"/>
          </w:tcPr>
          <w:p w14:paraId="7428D566">
            <w:pPr>
              <w:widowControl/>
              <w:jc w:val="left"/>
              <w:rPr>
                <w:rFonts w:ascii="宋体" w:hAnsi="宋体" w:cs="宋体"/>
                <w:color w:val="000000"/>
                <w:kern w:val="0"/>
                <w:sz w:val="22"/>
                <w:szCs w:val="22"/>
              </w:rPr>
            </w:pPr>
          </w:p>
        </w:tc>
        <w:tc>
          <w:tcPr>
            <w:tcW w:w="4514" w:type="dxa"/>
            <w:tcBorders>
              <w:top w:val="nil"/>
              <w:left w:val="nil"/>
              <w:bottom w:val="single" w:color="auto" w:sz="4" w:space="0"/>
              <w:right w:val="single" w:color="auto" w:sz="4" w:space="0"/>
            </w:tcBorders>
            <w:shd w:val="clear" w:color="auto" w:fill="auto"/>
            <w:vAlign w:val="center"/>
          </w:tcPr>
          <w:p w14:paraId="5D186A4C">
            <w:pPr>
              <w:widowControl/>
              <w:jc w:val="center"/>
              <w:rPr>
                <w:rFonts w:ascii="宋体" w:hAnsi="宋体" w:cs="宋体"/>
                <w:color w:val="000000"/>
                <w:kern w:val="0"/>
                <w:sz w:val="22"/>
                <w:szCs w:val="22"/>
              </w:rPr>
            </w:pPr>
          </w:p>
        </w:tc>
      </w:tr>
      <w:tr w14:paraId="3B7F4689">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1157575">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3481" w:type="dxa"/>
            <w:tcBorders>
              <w:top w:val="nil"/>
              <w:left w:val="nil"/>
              <w:bottom w:val="single" w:color="auto" w:sz="4" w:space="0"/>
              <w:right w:val="single" w:color="auto" w:sz="4" w:space="0"/>
            </w:tcBorders>
            <w:shd w:val="clear" w:color="auto" w:fill="auto"/>
            <w:vAlign w:val="center"/>
          </w:tcPr>
          <w:p w14:paraId="6B5C7275">
            <w:pPr>
              <w:widowControl/>
              <w:jc w:val="left"/>
              <w:rPr>
                <w:rFonts w:hint="default" w:ascii="宋体" w:hAnsi="宋体" w:cs="宋体"/>
                <w:color w:val="000000"/>
                <w:kern w:val="0"/>
                <w:sz w:val="22"/>
                <w:szCs w:val="22"/>
                <w:lang w:val="en-US" w:eastAsia="zh-CN"/>
              </w:rPr>
            </w:pPr>
          </w:p>
        </w:tc>
        <w:tc>
          <w:tcPr>
            <w:tcW w:w="900" w:type="dxa"/>
            <w:tcBorders>
              <w:top w:val="nil"/>
              <w:left w:val="nil"/>
              <w:bottom w:val="single" w:color="auto" w:sz="4" w:space="0"/>
              <w:right w:val="single" w:color="auto" w:sz="4" w:space="0"/>
            </w:tcBorders>
            <w:shd w:val="clear" w:color="auto" w:fill="auto"/>
            <w:vAlign w:val="center"/>
          </w:tcPr>
          <w:p w14:paraId="0BC4F4F2">
            <w:pPr>
              <w:widowControl/>
              <w:jc w:val="center"/>
              <w:rPr>
                <w:rFonts w:hint="eastAsia" w:ascii="宋体" w:hAnsi="宋体" w:cs="宋体"/>
                <w:color w:val="000000"/>
                <w:kern w:val="0"/>
                <w:sz w:val="22"/>
                <w:szCs w:val="22"/>
              </w:rPr>
            </w:pPr>
          </w:p>
        </w:tc>
        <w:tc>
          <w:tcPr>
            <w:tcW w:w="900" w:type="dxa"/>
            <w:tcBorders>
              <w:top w:val="nil"/>
              <w:left w:val="nil"/>
              <w:bottom w:val="single" w:color="auto" w:sz="4" w:space="0"/>
              <w:right w:val="single" w:color="auto" w:sz="4" w:space="0"/>
            </w:tcBorders>
            <w:shd w:val="clear" w:color="auto" w:fill="auto"/>
            <w:vAlign w:val="center"/>
          </w:tcPr>
          <w:p w14:paraId="79F17606">
            <w:pPr>
              <w:widowControl/>
              <w:jc w:val="center"/>
              <w:rPr>
                <w:rFonts w:hint="eastAsia" w:ascii="宋体" w:hAnsi="宋体" w:cs="宋体"/>
                <w:color w:val="000000"/>
                <w:kern w:val="0"/>
                <w:sz w:val="22"/>
                <w:szCs w:val="22"/>
              </w:rPr>
            </w:pPr>
          </w:p>
        </w:tc>
        <w:tc>
          <w:tcPr>
            <w:tcW w:w="1091" w:type="dxa"/>
            <w:tcBorders>
              <w:top w:val="nil"/>
              <w:left w:val="nil"/>
              <w:bottom w:val="single" w:color="auto" w:sz="4" w:space="0"/>
              <w:right w:val="single" w:color="auto" w:sz="4" w:space="0"/>
            </w:tcBorders>
            <w:shd w:val="clear" w:color="auto" w:fill="auto"/>
            <w:vAlign w:val="center"/>
          </w:tcPr>
          <w:p w14:paraId="745DA92E">
            <w:pPr>
              <w:widowControl/>
              <w:jc w:val="left"/>
              <w:rPr>
                <w:rFonts w:hint="eastAsia" w:ascii="宋体" w:hAnsi="宋体" w:cs="宋体"/>
                <w:color w:val="000000"/>
                <w:kern w:val="0"/>
                <w:sz w:val="22"/>
                <w:szCs w:val="22"/>
              </w:rPr>
            </w:pPr>
          </w:p>
        </w:tc>
        <w:tc>
          <w:tcPr>
            <w:tcW w:w="928" w:type="dxa"/>
            <w:tcBorders>
              <w:top w:val="nil"/>
              <w:left w:val="nil"/>
              <w:bottom w:val="single" w:color="auto" w:sz="4" w:space="0"/>
              <w:right w:val="single" w:color="auto" w:sz="4" w:space="0"/>
            </w:tcBorders>
            <w:shd w:val="clear" w:color="auto" w:fill="auto"/>
            <w:vAlign w:val="center"/>
          </w:tcPr>
          <w:p w14:paraId="12937B67">
            <w:pPr>
              <w:widowControl/>
              <w:jc w:val="left"/>
              <w:rPr>
                <w:rFonts w:ascii="宋体" w:hAnsi="宋体" w:cs="宋体"/>
                <w:color w:val="000000"/>
                <w:kern w:val="0"/>
                <w:sz w:val="22"/>
                <w:szCs w:val="22"/>
              </w:rPr>
            </w:pPr>
          </w:p>
        </w:tc>
        <w:tc>
          <w:tcPr>
            <w:tcW w:w="1363" w:type="dxa"/>
            <w:tcBorders>
              <w:top w:val="nil"/>
              <w:left w:val="nil"/>
              <w:bottom w:val="single" w:color="auto" w:sz="4" w:space="0"/>
              <w:right w:val="single" w:color="auto" w:sz="4" w:space="0"/>
            </w:tcBorders>
            <w:shd w:val="clear" w:color="auto" w:fill="auto"/>
            <w:vAlign w:val="center"/>
          </w:tcPr>
          <w:p w14:paraId="2AF564B5">
            <w:pPr>
              <w:widowControl/>
              <w:jc w:val="left"/>
              <w:rPr>
                <w:rFonts w:ascii="宋体" w:hAnsi="宋体" w:cs="宋体"/>
                <w:color w:val="000000"/>
                <w:kern w:val="0"/>
                <w:sz w:val="22"/>
                <w:szCs w:val="22"/>
              </w:rPr>
            </w:pPr>
          </w:p>
        </w:tc>
        <w:tc>
          <w:tcPr>
            <w:tcW w:w="4514" w:type="dxa"/>
            <w:tcBorders>
              <w:top w:val="nil"/>
              <w:left w:val="nil"/>
              <w:bottom w:val="single" w:color="auto" w:sz="4" w:space="0"/>
              <w:right w:val="single" w:color="auto" w:sz="4" w:space="0"/>
            </w:tcBorders>
            <w:shd w:val="clear" w:color="auto" w:fill="auto"/>
            <w:vAlign w:val="center"/>
          </w:tcPr>
          <w:p w14:paraId="3977093B">
            <w:pPr>
              <w:widowControl/>
              <w:jc w:val="center"/>
              <w:rPr>
                <w:rFonts w:ascii="宋体" w:hAnsi="宋体" w:cs="宋体"/>
                <w:color w:val="000000"/>
                <w:kern w:val="0"/>
                <w:sz w:val="22"/>
                <w:szCs w:val="22"/>
              </w:rPr>
            </w:pPr>
          </w:p>
        </w:tc>
      </w:tr>
      <w:tr w14:paraId="567D47EB">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F1C36AC">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11</w:t>
            </w:r>
          </w:p>
        </w:tc>
        <w:tc>
          <w:tcPr>
            <w:tcW w:w="3481" w:type="dxa"/>
            <w:tcBorders>
              <w:top w:val="nil"/>
              <w:left w:val="nil"/>
              <w:bottom w:val="single" w:color="auto" w:sz="4" w:space="0"/>
              <w:right w:val="single" w:color="auto" w:sz="4" w:space="0"/>
            </w:tcBorders>
            <w:shd w:val="clear" w:color="auto" w:fill="auto"/>
            <w:vAlign w:val="center"/>
          </w:tcPr>
          <w:p w14:paraId="2EC5A91F">
            <w:pPr>
              <w:widowControl/>
              <w:jc w:val="left"/>
              <w:rPr>
                <w:rFonts w:hint="eastAsia" w:ascii="宋体" w:hAnsi="宋体" w:cs="宋体"/>
                <w:color w:val="000000"/>
                <w:kern w:val="0"/>
                <w:sz w:val="22"/>
                <w:szCs w:val="22"/>
                <w:lang w:val="en-US" w:eastAsia="zh-CN"/>
              </w:rPr>
            </w:pPr>
          </w:p>
        </w:tc>
        <w:tc>
          <w:tcPr>
            <w:tcW w:w="900" w:type="dxa"/>
            <w:tcBorders>
              <w:top w:val="nil"/>
              <w:left w:val="nil"/>
              <w:bottom w:val="single" w:color="auto" w:sz="4" w:space="0"/>
              <w:right w:val="single" w:color="auto" w:sz="4" w:space="0"/>
            </w:tcBorders>
            <w:shd w:val="clear" w:color="auto" w:fill="auto"/>
            <w:vAlign w:val="center"/>
          </w:tcPr>
          <w:p w14:paraId="74EC73CD">
            <w:pPr>
              <w:widowControl/>
              <w:jc w:val="center"/>
              <w:rPr>
                <w:rFonts w:hint="eastAsia" w:ascii="宋体" w:hAnsi="宋体" w:cs="宋体"/>
                <w:color w:val="000000"/>
                <w:kern w:val="0"/>
                <w:sz w:val="22"/>
                <w:szCs w:val="22"/>
              </w:rPr>
            </w:pPr>
          </w:p>
        </w:tc>
        <w:tc>
          <w:tcPr>
            <w:tcW w:w="900" w:type="dxa"/>
            <w:tcBorders>
              <w:top w:val="nil"/>
              <w:left w:val="nil"/>
              <w:bottom w:val="single" w:color="auto" w:sz="4" w:space="0"/>
              <w:right w:val="single" w:color="auto" w:sz="4" w:space="0"/>
            </w:tcBorders>
            <w:shd w:val="clear" w:color="auto" w:fill="auto"/>
            <w:vAlign w:val="center"/>
          </w:tcPr>
          <w:p w14:paraId="6B62E939">
            <w:pPr>
              <w:widowControl/>
              <w:jc w:val="center"/>
              <w:rPr>
                <w:rFonts w:hint="eastAsia" w:ascii="宋体" w:hAnsi="宋体" w:cs="宋体"/>
                <w:color w:val="000000"/>
                <w:kern w:val="0"/>
                <w:sz w:val="22"/>
                <w:szCs w:val="22"/>
              </w:rPr>
            </w:pPr>
          </w:p>
        </w:tc>
        <w:tc>
          <w:tcPr>
            <w:tcW w:w="1091" w:type="dxa"/>
            <w:tcBorders>
              <w:top w:val="nil"/>
              <w:left w:val="nil"/>
              <w:bottom w:val="single" w:color="auto" w:sz="4" w:space="0"/>
              <w:right w:val="single" w:color="auto" w:sz="4" w:space="0"/>
            </w:tcBorders>
            <w:shd w:val="clear" w:color="auto" w:fill="auto"/>
            <w:vAlign w:val="center"/>
          </w:tcPr>
          <w:p w14:paraId="0F63B9DA">
            <w:pPr>
              <w:widowControl/>
              <w:jc w:val="left"/>
              <w:rPr>
                <w:rFonts w:hint="eastAsia" w:ascii="宋体" w:hAnsi="宋体" w:cs="宋体"/>
                <w:color w:val="000000"/>
                <w:kern w:val="0"/>
                <w:sz w:val="22"/>
                <w:szCs w:val="22"/>
              </w:rPr>
            </w:pPr>
          </w:p>
        </w:tc>
        <w:tc>
          <w:tcPr>
            <w:tcW w:w="928" w:type="dxa"/>
            <w:tcBorders>
              <w:top w:val="nil"/>
              <w:left w:val="nil"/>
              <w:bottom w:val="single" w:color="auto" w:sz="4" w:space="0"/>
              <w:right w:val="single" w:color="auto" w:sz="4" w:space="0"/>
            </w:tcBorders>
            <w:shd w:val="clear" w:color="auto" w:fill="auto"/>
            <w:vAlign w:val="center"/>
          </w:tcPr>
          <w:p w14:paraId="3ACBE849">
            <w:pPr>
              <w:widowControl/>
              <w:jc w:val="left"/>
              <w:rPr>
                <w:rFonts w:ascii="宋体" w:hAnsi="宋体" w:cs="宋体"/>
                <w:color w:val="000000"/>
                <w:kern w:val="0"/>
                <w:sz w:val="22"/>
                <w:szCs w:val="22"/>
              </w:rPr>
            </w:pPr>
          </w:p>
        </w:tc>
        <w:tc>
          <w:tcPr>
            <w:tcW w:w="1363" w:type="dxa"/>
            <w:tcBorders>
              <w:top w:val="nil"/>
              <w:left w:val="nil"/>
              <w:bottom w:val="single" w:color="auto" w:sz="4" w:space="0"/>
              <w:right w:val="single" w:color="auto" w:sz="4" w:space="0"/>
            </w:tcBorders>
            <w:shd w:val="clear" w:color="auto" w:fill="auto"/>
            <w:vAlign w:val="center"/>
          </w:tcPr>
          <w:p w14:paraId="1365FC5B">
            <w:pPr>
              <w:widowControl/>
              <w:jc w:val="left"/>
              <w:rPr>
                <w:rFonts w:ascii="宋体" w:hAnsi="宋体" w:cs="宋体"/>
                <w:color w:val="000000"/>
                <w:kern w:val="0"/>
                <w:sz w:val="22"/>
                <w:szCs w:val="22"/>
              </w:rPr>
            </w:pPr>
          </w:p>
        </w:tc>
        <w:tc>
          <w:tcPr>
            <w:tcW w:w="4514" w:type="dxa"/>
            <w:tcBorders>
              <w:top w:val="nil"/>
              <w:left w:val="nil"/>
              <w:bottom w:val="single" w:color="auto" w:sz="4" w:space="0"/>
              <w:right w:val="single" w:color="auto" w:sz="4" w:space="0"/>
            </w:tcBorders>
            <w:shd w:val="clear" w:color="auto" w:fill="auto"/>
            <w:vAlign w:val="center"/>
          </w:tcPr>
          <w:p w14:paraId="58A8945A">
            <w:pPr>
              <w:widowControl/>
              <w:jc w:val="center"/>
              <w:rPr>
                <w:rFonts w:ascii="宋体" w:hAnsi="宋体" w:cs="宋体"/>
                <w:color w:val="000000"/>
                <w:kern w:val="0"/>
                <w:sz w:val="22"/>
                <w:szCs w:val="22"/>
              </w:rPr>
            </w:pPr>
          </w:p>
        </w:tc>
      </w:tr>
      <w:tr w14:paraId="3C1CE890">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02F42D42">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12</w:t>
            </w:r>
          </w:p>
        </w:tc>
        <w:tc>
          <w:tcPr>
            <w:tcW w:w="3481" w:type="dxa"/>
            <w:tcBorders>
              <w:top w:val="nil"/>
              <w:left w:val="nil"/>
              <w:bottom w:val="single" w:color="auto" w:sz="4" w:space="0"/>
              <w:right w:val="single" w:color="auto" w:sz="4" w:space="0"/>
            </w:tcBorders>
            <w:shd w:val="clear" w:color="auto" w:fill="auto"/>
            <w:vAlign w:val="center"/>
          </w:tcPr>
          <w:p w14:paraId="6C2801D2">
            <w:pPr>
              <w:widowControl/>
              <w:jc w:val="left"/>
              <w:rPr>
                <w:rFonts w:hint="eastAsia" w:ascii="宋体" w:hAnsi="宋体" w:cs="宋体"/>
                <w:color w:val="000000"/>
                <w:kern w:val="0"/>
                <w:sz w:val="22"/>
                <w:szCs w:val="22"/>
                <w:lang w:val="en-US" w:eastAsia="zh-CN"/>
              </w:rPr>
            </w:pPr>
          </w:p>
        </w:tc>
        <w:tc>
          <w:tcPr>
            <w:tcW w:w="900" w:type="dxa"/>
            <w:tcBorders>
              <w:top w:val="nil"/>
              <w:left w:val="nil"/>
              <w:bottom w:val="single" w:color="auto" w:sz="4" w:space="0"/>
              <w:right w:val="single" w:color="auto" w:sz="4" w:space="0"/>
            </w:tcBorders>
            <w:shd w:val="clear" w:color="auto" w:fill="auto"/>
            <w:vAlign w:val="center"/>
          </w:tcPr>
          <w:p w14:paraId="4E40AEDA">
            <w:pPr>
              <w:widowControl/>
              <w:jc w:val="center"/>
              <w:rPr>
                <w:rFonts w:hint="eastAsia" w:ascii="宋体" w:hAnsi="宋体" w:cs="宋体"/>
                <w:color w:val="000000"/>
                <w:kern w:val="0"/>
                <w:sz w:val="22"/>
                <w:szCs w:val="22"/>
              </w:rPr>
            </w:pPr>
          </w:p>
        </w:tc>
        <w:tc>
          <w:tcPr>
            <w:tcW w:w="900" w:type="dxa"/>
            <w:tcBorders>
              <w:top w:val="nil"/>
              <w:left w:val="nil"/>
              <w:bottom w:val="single" w:color="auto" w:sz="4" w:space="0"/>
              <w:right w:val="single" w:color="auto" w:sz="4" w:space="0"/>
            </w:tcBorders>
            <w:shd w:val="clear" w:color="auto" w:fill="auto"/>
            <w:vAlign w:val="center"/>
          </w:tcPr>
          <w:p w14:paraId="16722A68">
            <w:pPr>
              <w:widowControl/>
              <w:jc w:val="center"/>
              <w:rPr>
                <w:rFonts w:hint="eastAsia" w:ascii="宋体" w:hAnsi="宋体" w:cs="宋体"/>
                <w:color w:val="000000"/>
                <w:kern w:val="0"/>
                <w:sz w:val="22"/>
                <w:szCs w:val="22"/>
              </w:rPr>
            </w:pPr>
          </w:p>
        </w:tc>
        <w:tc>
          <w:tcPr>
            <w:tcW w:w="1091" w:type="dxa"/>
            <w:tcBorders>
              <w:top w:val="nil"/>
              <w:left w:val="nil"/>
              <w:bottom w:val="single" w:color="auto" w:sz="4" w:space="0"/>
              <w:right w:val="single" w:color="auto" w:sz="4" w:space="0"/>
            </w:tcBorders>
            <w:shd w:val="clear" w:color="auto" w:fill="auto"/>
            <w:vAlign w:val="center"/>
          </w:tcPr>
          <w:p w14:paraId="41A36381">
            <w:pPr>
              <w:widowControl/>
              <w:jc w:val="left"/>
              <w:rPr>
                <w:rFonts w:hint="eastAsia" w:ascii="宋体" w:hAnsi="宋体" w:cs="宋体"/>
                <w:color w:val="000000"/>
                <w:kern w:val="0"/>
                <w:sz w:val="22"/>
                <w:szCs w:val="22"/>
              </w:rPr>
            </w:pPr>
          </w:p>
        </w:tc>
        <w:tc>
          <w:tcPr>
            <w:tcW w:w="928" w:type="dxa"/>
            <w:tcBorders>
              <w:top w:val="nil"/>
              <w:left w:val="nil"/>
              <w:bottom w:val="single" w:color="auto" w:sz="4" w:space="0"/>
              <w:right w:val="single" w:color="auto" w:sz="4" w:space="0"/>
            </w:tcBorders>
            <w:shd w:val="clear" w:color="auto" w:fill="auto"/>
            <w:vAlign w:val="center"/>
          </w:tcPr>
          <w:p w14:paraId="0F9C855C">
            <w:pPr>
              <w:widowControl/>
              <w:jc w:val="left"/>
              <w:rPr>
                <w:rFonts w:ascii="宋体" w:hAnsi="宋体" w:cs="宋体"/>
                <w:color w:val="000000"/>
                <w:kern w:val="0"/>
                <w:sz w:val="22"/>
                <w:szCs w:val="22"/>
              </w:rPr>
            </w:pPr>
          </w:p>
        </w:tc>
        <w:tc>
          <w:tcPr>
            <w:tcW w:w="1363" w:type="dxa"/>
            <w:tcBorders>
              <w:top w:val="nil"/>
              <w:left w:val="nil"/>
              <w:bottom w:val="single" w:color="auto" w:sz="4" w:space="0"/>
              <w:right w:val="single" w:color="auto" w:sz="4" w:space="0"/>
            </w:tcBorders>
            <w:shd w:val="clear" w:color="auto" w:fill="auto"/>
            <w:vAlign w:val="center"/>
          </w:tcPr>
          <w:p w14:paraId="63EDB730">
            <w:pPr>
              <w:widowControl/>
              <w:jc w:val="left"/>
              <w:rPr>
                <w:rFonts w:ascii="宋体" w:hAnsi="宋体" w:cs="宋体"/>
                <w:color w:val="000000"/>
                <w:kern w:val="0"/>
                <w:sz w:val="22"/>
                <w:szCs w:val="22"/>
              </w:rPr>
            </w:pPr>
          </w:p>
        </w:tc>
        <w:tc>
          <w:tcPr>
            <w:tcW w:w="4514" w:type="dxa"/>
            <w:tcBorders>
              <w:top w:val="nil"/>
              <w:left w:val="nil"/>
              <w:bottom w:val="single" w:color="auto" w:sz="4" w:space="0"/>
              <w:right w:val="single" w:color="auto" w:sz="4" w:space="0"/>
            </w:tcBorders>
            <w:shd w:val="clear" w:color="auto" w:fill="auto"/>
            <w:vAlign w:val="center"/>
          </w:tcPr>
          <w:p w14:paraId="68116BE4">
            <w:pPr>
              <w:widowControl/>
              <w:jc w:val="left"/>
              <w:rPr>
                <w:rFonts w:ascii="宋体" w:hAnsi="宋体" w:cs="宋体"/>
                <w:color w:val="000000"/>
                <w:kern w:val="0"/>
                <w:sz w:val="22"/>
                <w:szCs w:val="22"/>
              </w:rPr>
            </w:pPr>
          </w:p>
        </w:tc>
      </w:tr>
      <w:tr w14:paraId="7EAE2C2F">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790C437">
            <w:pPr>
              <w:widowControl/>
              <w:jc w:val="center"/>
              <w:rPr>
                <w:rFonts w:hint="eastAsia" w:ascii="宋体" w:hAnsi="宋体" w:cs="宋体"/>
                <w:color w:val="000000"/>
                <w:kern w:val="0"/>
                <w:sz w:val="22"/>
                <w:szCs w:val="22"/>
              </w:rPr>
            </w:pPr>
          </w:p>
        </w:tc>
        <w:tc>
          <w:tcPr>
            <w:tcW w:w="3481" w:type="dxa"/>
            <w:tcBorders>
              <w:top w:val="nil"/>
              <w:left w:val="nil"/>
              <w:bottom w:val="single" w:color="auto" w:sz="4" w:space="0"/>
              <w:right w:val="single" w:color="auto" w:sz="4" w:space="0"/>
            </w:tcBorders>
            <w:shd w:val="clear" w:color="auto" w:fill="auto"/>
            <w:vAlign w:val="center"/>
          </w:tcPr>
          <w:p w14:paraId="2E8C8FF7">
            <w:pPr>
              <w:widowControl/>
              <w:jc w:val="left"/>
              <w:rPr>
                <w:rFonts w:hint="eastAsia" w:ascii="宋体" w:hAnsi="宋体" w:cs="宋体"/>
                <w:color w:val="000000"/>
                <w:kern w:val="0"/>
                <w:sz w:val="22"/>
                <w:szCs w:val="22"/>
                <w:lang w:val="en-US" w:eastAsia="zh-CN"/>
              </w:rPr>
            </w:pPr>
          </w:p>
        </w:tc>
        <w:tc>
          <w:tcPr>
            <w:tcW w:w="900" w:type="dxa"/>
            <w:tcBorders>
              <w:top w:val="nil"/>
              <w:left w:val="nil"/>
              <w:bottom w:val="single" w:color="auto" w:sz="4" w:space="0"/>
              <w:right w:val="single" w:color="auto" w:sz="4" w:space="0"/>
            </w:tcBorders>
            <w:shd w:val="clear" w:color="auto" w:fill="auto"/>
            <w:vAlign w:val="center"/>
          </w:tcPr>
          <w:p w14:paraId="5FCC83E1">
            <w:pPr>
              <w:widowControl/>
              <w:jc w:val="center"/>
              <w:rPr>
                <w:rFonts w:hint="eastAsia" w:ascii="宋体" w:hAnsi="宋体" w:cs="宋体"/>
                <w:color w:val="000000"/>
                <w:kern w:val="0"/>
                <w:sz w:val="22"/>
                <w:szCs w:val="22"/>
              </w:rPr>
            </w:pPr>
          </w:p>
        </w:tc>
        <w:tc>
          <w:tcPr>
            <w:tcW w:w="900" w:type="dxa"/>
            <w:tcBorders>
              <w:top w:val="nil"/>
              <w:left w:val="nil"/>
              <w:bottom w:val="single" w:color="auto" w:sz="4" w:space="0"/>
              <w:right w:val="single" w:color="auto" w:sz="4" w:space="0"/>
            </w:tcBorders>
            <w:shd w:val="clear" w:color="auto" w:fill="auto"/>
            <w:vAlign w:val="center"/>
          </w:tcPr>
          <w:p w14:paraId="7C43D729">
            <w:pPr>
              <w:widowControl/>
              <w:jc w:val="center"/>
              <w:rPr>
                <w:rFonts w:hint="eastAsia" w:ascii="宋体" w:hAnsi="宋体" w:cs="宋体"/>
                <w:color w:val="000000"/>
                <w:kern w:val="0"/>
                <w:sz w:val="22"/>
                <w:szCs w:val="22"/>
              </w:rPr>
            </w:pPr>
          </w:p>
        </w:tc>
        <w:tc>
          <w:tcPr>
            <w:tcW w:w="1091" w:type="dxa"/>
            <w:tcBorders>
              <w:top w:val="nil"/>
              <w:left w:val="nil"/>
              <w:bottom w:val="single" w:color="auto" w:sz="4" w:space="0"/>
              <w:right w:val="single" w:color="auto" w:sz="4" w:space="0"/>
            </w:tcBorders>
            <w:shd w:val="clear" w:color="auto" w:fill="auto"/>
            <w:vAlign w:val="center"/>
          </w:tcPr>
          <w:p w14:paraId="5A4946F4">
            <w:pPr>
              <w:widowControl/>
              <w:jc w:val="left"/>
              <w:rPr>
                <w:rFonts w:hint="eastAsia" w:ascii="宋体" w:hAnsi="宋体" w:cs="宋体"/>
                <w:color w:val="000000"/>
                <w:kern w:val="0"/>
                <w:sz w:val="22"/>
                <w:szCs w:val="22"/>
              </w:rPr>
            </w:pPr>
          </w:p>
        </w:tc>
        <w:tc>
          <w:tcPr>
            <w:tcW w:w="928" w:type="dxa"/>
            <w:tcBorders>
              <w:top w:val="nil"/>
              <w:left w:val="nil"/>
              <w:bottom w:val="single" w:color="auto" w:sz="4" w:space="0"/>
              <w:right w:val="single" w:color="auto" w:sz="4" w:space="0"/>
            </w:tcBorders>
            <w:shd w:val="clear" w:color="auto" w:fill="auto"/>
            <w:vAlign w:val="center"/>
          </w:tcPr>
          <w:p w14:paraId="223A97C8">
            <w:pPr>
              <w:widowControl/>
              <w:jc w:val="left"/>
              <w:rPr>
                <w:rFonts w:ascii="宋体" w:hAnsi="宋体" w:cs="宋体"/>
                <w:color w:val="000000"/>
                <w:kern w:val="0"/>
                <w:sz w:val="22"/>
                <w:szCs w:val="22"/>
              </w:rPr>
            </w:pPr>
          </w:p>
        </w:tc>
        <w:tc>
          <w:tcPr>
            <w:tcW w:w="1363" w:type="dxa"/>
            <w:tcBorders>
              <w:top w:val="nil"/>
              <w:left w:val="nil"/>
              <w:bottom w:val="single" w:color="auto" w:sz="4" w:space="0"/>
              <w:right w:val="single" w:color="auto" w:sz="4" w:space="0"/>
            </w:tcBorders>
            <w:shd w:val="clear" w:color="auto" w:fill="auto"/>
            <w:vAlign w:val="center"/>
          </w:tcPr>
          <w:p w14:paraId="7B5721FB">
            <w:pPr>
              <w:widowControl/>
              <w:jc w:val="left"/>
              <w:rPr>
                <w:rFonts w:ascii="宋体" w:hAnsi="宋体" w:cs="宋体"/>
                <w:color w:val="000000"/>
                <w:kern w:val="0"/>
                <w:sz w:val="22"/>
                <w:szCs w:val="22"/>
              </w:rPr>
            </w:pPr>
          </w:p>
        </w:tc>
        <w:tc>
          <w:tcPr>
            <w:tcW w:w="4514" w:type="dxa"/>
            <w:tcBorders>
              <w:top w:val="nil"/>
              <w:left w:val="nil"/>
              <w:bottom w:val="single" w:color="auto" w:sz="4" w:space="0"/>
              <w:right w:val="single" w:color="auto" w:sz="4" w:space="0"/>
            </w:tcBorders>
            <w:shd w:val="clear" w:color="auto" w:fill="auto"/>
            <w:vAlign w:val="center"/>
          </w:tcPr>
          <w:p w14:paraId="751EB96C">
            <w:pPr>
              <w:widowControl/>
              <w:jc w:val="left"/>
              <w:rPr>
                <w:rFonts w:ascii="宋体" w:hAnsi="宋体" w:cs="宋体"/>
                <w:color w:val="000000"/>
                <w:kern w:val="0"/>
                <w:sz w:val="22"/>
                <w:szCs w:val="22"/>
              </w:rPr>
            </w:pPr>
          </w:p>
        </w:tc>
      </w:tr>
      <w:tr w14:paraId="3DF49592">
        <w:tblPrEx>
          <w:tblCellMar>
            <w:top w:w="0" w:type="dxa"/>
            <w:left w:w="108" w:type="dxa"/>
            <w:bottom w:w="0" w:type="dxa"/>
            <w:right w:w="108" w:type="dxa"/>
          </w:tblCellMar>
        </w:tblPrEx>
        <w:trPr>
          <w:trHeight w:val="270" w:hRule="atLeast"/>
        </w:trPr>
        <w:tc>
          <w:tcPr>
            <w:tcW w:w="709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4B4A2C4">
            <w:pPr>
              <w:widowControl/>
              <w:jc w:val="center"/>
              <w:rPr>
                <w:rFonts w:ascii="宋体" w:hAnsi="宋体" w:cs="宋体"/>
                <w:color w:val="000000"/>
                <w:kern w:val="0"/>
                <w:sz w:val="22"/>
                <w:szCs w:val="22"/>
              </w:rPr>
            </w:pPr>
            <w:r>
              <w:rPr>
                <w:rFonts w:hint="eastAsia" w:ascii="宋体" w:hAnsi="宋体" w:cs="宋体"/>
                <w:color w:val="000000"/>
                <w:kern w:val="0"/>
                <w:sz w:val="22"/>
                <w:szCs w:val="22"/>
              </w:rPr>
              <w:t>总计</w:t>
            </w:r>
          </w:p>
        </w:tc>
        <w:tc>
          <w:tcPr>
            <w:tcW w:w="928" w:type="dxa"/>
            <w:tcBorders>
              <w:top w:val="nil"/>
              <w:left w:val="nil"/>
              <w:bottom w:val="single" w:color="auto" w:sz="4" w:space="0"/>
              <w:right w:val="single" w:color="auto" w:sz="4" w:space="0"/>
            </w:tcBorders>
            <w:shd w:val="clear" w:color="auto" w:fill="auto"/>
            <w:vAlign w:val="center"/>
          </w:tcPr>
          <w:p w14:paraId="6672B5C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63" w:type="dxa"/>
            <w:tcBorders>
              <w:top w:val="nil"/>
              <w:left w:val="nil"/>
              <w:bottom w:val="single" w:color="auto" w:sz="4" w:space="0"/>
              <w:right w:val="single" w:color="auto" w:sz="4" w:space="0"/>
            </w:tcBorders>
            <w:shd w:val="clear" w:color="auto" w:fill="auto"/>
            <w:vAlign w:val="center"/>
          </w:tcPr>
          <w:p w14:paraId="7FB9868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4514" w:type="dxa"/>
            <w:tcBorders>
              <w:top w:val="nil"/>
              <w:left w:val="nil"/>
              <w:bottom w:val="single" w:color="auto" w:sz="4" w:space="0"/>
              <w:right w:val="single" w:color="auto" w:sz="4" w:space="0"/>
            </w:tcBorders>
            <w:shd w:val="clear" w:color="auto" w:fill="auto"/>
            <w:vAlign w:val="center"/>
          </w:tcPr>
          <w:p w14:paraId="62D48F8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3ACF577E">
        <w:tblPrEx>
          <w:tblCellMar>
            <w:top w:w="0" w:type="dxa"/>
            <w:left w:w="108" w:type="dxa"/>
            <w:bottom w:w="0" w:type="dxa"/>
            <w:right w:w="108" w:type="dxa"/>
          </w:tblCellMar>
        </w:tblPrEx>
        <w:trPr>
          <w:trHeight w:val="270" w:hRule="atLeast"/>
        </w:trPr>
        <w:tc>
          <w:tcPr>
            <w:tcW w:w="13897"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5F1D6299">
            <w:pPr>
              <w:rPr>
                <w:rFonts w:ascii="宋体" w:hAnsi="宋体" w:cs="宋体"/>
                <w:color w:val="000000"/>
                <w:kern w:val="0"/>
                <w:sz w:val="22"/>
                <w:szCs w:val="22"/>
              </w:rPr>
            </w:pPr>
            <w:r>
              <w:rPr>
                <w:rFonts w:hint="eastAsia"/>
                <w:color w:val="000000"/>
                <w:sz w:val="22"/>
                <w:szCs w:val="22"/>
              </w:rPr>
              <w:t>说明：1、投标单位需严格按照此格式进行报价。</w:t>
            </w:r>
          </w:p>
        </w:tc>
      </w:tr>
      <w:tr w14:paraId="5F8BBB32">
        <w:tblPrEx>
          <w:tblCellMar>
            <w:top w:w="0" w:type="dxa"/>
            <w:left w:w="108" w:type="dxa"/>
            <w:bottom w:w="0" w:type="dxa"/>
            <w:right w:w="108" w:type="dxa"/>
          </w:tblCellMar>
        </w:tblPrEx>
        <w:trPr>
          <w:trHeight w:val="630" w:hRule="atLeast"/>
        </w:trPr>
        <w:tc>
          <w:tcPr>
            <w:tcW w:w="13897"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1FFBC83C">
            <w:pPr>
              <w:rPr>
                <w:rFonts w:ascii="宋体" w:hAnsi="宋体" w:cs="宋体"/>
                <w:color w:val="000000"/>
                <w:kern w:val="0"/>
                <w:sz w:val="22"/>
                <w:szCs w:val="22"/>
              </w:rPr>
            </w:pPr>
            <w:r>
              <w:rPr>
                <w:rFonts w:hint="eastAsia"/>
                <w:color w:val="000000"/>
                <w:sz w:val="22"/>
                <w:szCs w:val="22"/>
              </w:rPr>
              <w:t>2、投标人需要根据表格容量进行报价，单个产品合计价格须与报价汇总表单价保持一致。</w:t>
            </w:r>
          </w:p>
        </w:tc>
      </w:tr>
      <w:tr w14:paraId="3DD17E9C">
        <w:tblPrEx>
          <w:tblCellMar>
            <w:top w:w="0" w:type="dxa"/>
            <w:left w:w="108" w:type="dxa"/>
            <w:bottom w:w="0" w:type="dxa"/>
            <w:right w:w="108" w:type="dxa"/>
          </w:tblCellMar>
        </w:tblPrEx>
        <w:trPr>
          <w:trHeight w:val="270" w:hRule="atLeast"/>
        </w:trPr>
        <w:tc>
          <w:tcPr>
            <w:tcW w:w="13897"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6C40A459">
            <w:pPr>
              <w:rPr>
                <w:rFonts w:ascii="宋体" w:hAnsi="宋体" w:cs="宋体"/>
                <w:color w:val="000000"/>
                <w:kern w:val="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3472745B">
      <w:pPr>
        <w:topLinePunct/>
        <w:spacing w:line="312" w:lineRule="exact"/>
        <w:ind w:firstLine="420"/>
      </w:pPr>
    </w:p>
    <w:p w14:paraId="0C2A5E98">
      <w:pPr>
        <w:topLinePunct/>
        <w:spacing w:line="312" w:lineRule="exact"/>
        <w:ind w:firstLine="420"/>
      </w:pPr>
    </w:p>
    <w:p w14:paraId="610D49A4">
      <w:pPr>
        <w:topLinePunct/>
        <w:spacing w:line="312" w:lineRule="exact"/>
        <w:ind w:firstLine="420"/>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modern"/>
    <w:pitch w:val="default"/>
    <w:sig w:usb0="00000000" w:usb1="00000000" w:usb2="00000012"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汉仪书宋二简">
    <w:altName w:val="宋体"/>
    <w:panose1 w:val="00000000000000000000"/>
    <w:charset w:val="86"/>
    <w:family w:val="modern"/>
    <w:pitch w:val="default"/>
    <w:sig w:usb0="00000000" w:usb1="00000000" w:usb2="00000012"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1A148">
    <w:pPr>
      <w:pStyle w:val="26"/>
      <w:jc w:val="center"/>
    </w:pPr>
    <w:r>
      <w:fldChar w:fldCharType="begin"/>
    </w:r>
    <w:r>
      <w:instrText xml:space="preserve"> PAGE   \* MERGEFORMAT </w:instrText>
    </w:r>
    <w:r>
      <w:fldChar w:fldCharType="separate"/>
    </w:r>
    <w:r>
      <w:t>3</w:t>
    </w:r>
    <w:r>
      <w:rPr>
        <w:lang w:val="zh-CN"/>
      </w:rPr>
      <w:fldChar w:fldCharType="end"/>
    </w:r>
  </w:p>
  <w:p w14:paraId="1DB221F0">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082D8">
    <w:pPr>
      <w:pStyle w:val="26"/>
      <w:jc w:val="center"/>
    </w:pPr>
    <w:r>
      <w:fldChar w:fldCharType="begin"/>
    </w:r>
    <w:r>
      <w:instrText xml:space="preserve"> PAGE   \* MERGEFORMAT </w:instrText>
    </w:r>
    <w:r>
      <w:fldChar w:fldCharType="separate"/>
    </w:r>
    <w:r>
      <w:t>1</w:t>
    </w:r>
    <w:r>
      <w:rPr>
        <w:lang w:val="zh-CN"/>
      </w:rPr>
      <w:fldChar w:fldCharType="end"/>
    </w:r>
  </w:p>
  <w:p w14:paraId="1BDEDB44">
    <w:pPr>
      <w:pStyle w:val="2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E8D0C3"/>
    <w:multiLevelType w:val="singleLevel"/>
    <w:tmpl w:val="56E8D0C3"/>
    <w:lvl w:ilvl="0" w:tentative="0">
      <w:start w:val="1"/>
      <w:numFmt w:val="low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6B18"/>
    <w:rsid w:val="00010CA8"/>
    <w:rsid w:val="000129FA"/>
    <w:rsid w:val="00021C97"/>
    <w:rsid w:val="00026D8C"/>
    <w:rsid w:val="00027790"/>
    <w:rsid w:val="00045CC3"/>
    <w:rsid w:val="00052B72"/>
    <w:rsid w:val="0006061E"/>
    <w:rsid w:val="00061FA9"/>
    <w:rsid w:val="00066494"/>
    <w:rsid w:val="000769B5"/>
    <w:rsid w:val="00077CBC"/>
    <w:rsid w:val="000A7A21"/>
    <w:rsid w:val="000E0865"/>
    <w:rsid w:val="000E71D5"/>
    <w:rsid w:val="000F0DBA"/>
    <w:rsid w:val="00124CF9"/>
    <w:rsid w:val="00125A87"/>
    <w:rsid w:val="001273B0"/>
    <w:rsid w:val="001313B0"/>
    <w:rsid w:val="001352A0"/>
    <w:rsid w:val="001358F8"/>
    <w:rsid w:val="00141416"/>
    <w:rsid w:val="00146E6B"/>
    <w:rsid w:val="00150D82"/>
    <w:rsid w:val="00151200"/>
    <w:rsid w:val="00155E6D"/>
    <w:rsid w:val="00167BB5"/>
    <w:rsid w:val="00176673"/>
    <w:rsid w:val="00187CDB"/>
    <w:rsid w:val="00191947"/>
    <w:rsid w:val="001A0F14"/>
    <w:rsid w:val="001B224E"/>
    <w:rsid w:val="001D3F56"/>
    <w:rsid w:val="001D4A24"/>
    <w:rsid w:val="001D5A98"/>
    <w:rsid w:val="001D7370"/>
    <w:rsid w:val="002068E4"/>
    <w:rsid w:val="00206B25"/>
    <w:rsid w:val="00223B9C"/>
    <w:rsid w:val="00231234"/>
    <w:rsid w:val="002435A4"/>
    <w:rsid w:val="00244374"/>
    <w:rsid w:val="0024587E"/>
    <w:rsid w:val="0024602B"/>
    <w:rsid w:val="002471DD"/>
    <w:rsid w:val="00252AEC"/>
    <w:rsid w:val="00256966"/>
    <w:rsid w:val="00261356"/>
    <w:rsid w:val="00272408"/>
    <w:rsid w:val="00282E60"/>
    <w:rsid w:val="002A1454"/>
    <w:rsid w:val="002A42DE"/>
    <w:rsid w:val="002A660A"/>
    <w:rsid w:val="002A7817"/>
    <w:rsid w:val="002B3EC8"/>
    <w:rsid w:val="002B590D"/>
    <w:rsid w:val="002E011C"/>
    <w:rsid w:val="002E4C2F"/>
    <w:rsid w:val="002F1B42"/>
    <w:rsid w:val="002F33B7"/>
    <w:rsid w:val="002F4C3E"/>
    <w:rsid w:val="00316B25"/>
    <w:rsid w:val="00325A4B"/>
    <w:rsid w:val="003350ED"/>
    <w:rsid w:val="00342D0E"/>
    <w:rsid w:val="003446BE"/>
    <w:rsid w:val="0035001B"/>
    <w:rsid w:val="0036382B"/>
    <w:rsid w:val="00370DD9"/>
    <w:rsid w:val="00371318"/>
    <w:rsid w:val="00371960"/>
    <w:rsid w:val="003A7357"/>
    <w:rsid w:val="003D15AE"/>
    <w:rsid w:val="003D5865"/>
    <w:rsid w:val="0042491D"/>
    <w:rsid w:val="00425581"/>
    <w:rsid w:val="00430A12"/>
    <w:rsid w:val="00436935"/>
    <w:rsid w:val="004452CF"/>
    <w:rsid w:val="004454B6"/>
    <w:rsid w:val="00451FFE"/>
    <w:rsid w:val="00452D23"/>
    <w:rsid w:val="00464F99"/>
    <w:rsid w:val="00484986"/>
    <w:rsid w:val="00490823"/>
    <w:rsid w:val="00496952"/>
    <w:rsid w:val="004A3B04"/>
    <w:rsid w:val="004A6249"/>
    <w:rsid w:val="004B68FC"/>
    <w:rsid w:val="004D4C3E"/>
    <w:rsid w:val="004F38D0"/>
    <w:rsid w:val="004F6235"/>
    <w:rsid w:val="004F7249"/>
    <w:rsid w:val="0051013C"/>
    <w:rsid w:val="005171F8"/>
    <w:rsid w:val="00520783"/>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76DC"/>
    <w:rsid w:val="00571B35"/>
    <w:rsid w:val="005827F8"/>
    <w:rsid w:val="0059071D"/>
    <w:rsid w:val="005A3753"/>
    <w:rsid w:val="005B1212"/>
    <w:rsid w:val="005B4054"/>
    <w:rsid w:val="005C0C18"/>
    <w:rsid w:val="005D1FDF"/>
    <w:rsid w:val="005E1592"/>
    <w:rsid w:val="005E1B98"/>
    <w:rsid w:val="00601806"/>
    <w:rsid w:val="00606E08"/>
    <w:rsid w:val="006145F4"/>
    <w:rsid w:val="006206EA"/>
    <w:rsid w:val="00633249"/>
    <w:rsid w:val="00637FF3"/>
    <w:rsid w:val="00645E30"/>
    <w:rsid w:val="006668F2"/>
    <w:rsid w:val="00667ED6"/>
    <w:rsid w:val="006758B7"/>
    <w:rsid w:val="006A3C8E"/>
    <w:rsid w:val="006B4021"/>
    <w:rsid w:val="006B5CE9"/>
    <w:rsid w:val="006C741F"/>
    <w:rsid w:val="006D0D90"/>
    <w:rsid w:val="006D4013"/>
    <w:rsid w:val="006F330A"/>
    <w:rsid w:val="006F40F2"/>
    <w:rsid w:val="007316C4"/>
    <w:rsid w:val="00732EE4"/>
    <w:rsid w:val="00742004"/>
    <w:rsid w:val="00742362"/>
    <w:rsid w:val="007468D5"/>
    <w:rsid w:val="00764A6F"/>
    <w:rsid w:val="00795068"/>
    <w:rsid w:val="007A466A"/>
    <w:rsid w:val="007B7452"/>
    <w:rsid w:val="007C1A2E"/>
    <w:rsid w:val="007D36A6"/>
    <w:rsid w:val="007D5311"/>
    <w:rsid w:val="007D6A90"/>
    <w:rsid w:val="007E264C"/>
    <w:rsid w:val="00803E4B"/>
    <w:rsid w:val="00813604"/>
    <w:rsid w:val="00824563"/>
    <w:rsid w:val="008308D9"/>
    <w:rsid w:val="00845124"/>
    <w:rsid w:val="0084608A"/>
    <w:rsid w:val="00855A6F"/>
    <w:rsid w:val="00857EFD"/>
    <w:rsid w:val="00886579"/>
    <w:rsid w:val="008936C7"/>
    <w:rsid w:val="008A5D41"/>
    <w:rsid w:val="008B0D4D"/>
    <w:rsid w:val="008B2A3C"/>
    <w:rsid w:val="008B3CDB"/>
    <w:rsid w:val="008C20C8"/>
    <w:rsid w:val="008E210E"/>
    <w:rsid w:val="008E430D"/>
    <w:rsid w:val="008E5827"/>
    <w:rsid w:val="00915AB6"/>
    <w:rsid w:val="00917651"/>
    <w:rsid w:val="0095761E"/>
    <w:rsid w:val="0096314C"/>
    <w:rsid w:val="00996674"/>
    <w:rsid w:val="009A1695"/>
    <w:rsid w:val="009A5D36"/>
    <w:rsid w:val="009A5F72"/>
    <w:rsid w:val="009A72DB"/>
    <w:rsid w:val="009B45E3"/>
    <w:rsid w:val="009E1523"/>
    <w:rsid w:val="009E40CA"/>
    <w:rsid w:val="009E4A81"/>
    <w:rsid w:val="009E65C0"/>
    <w:rsid w:val="009E7D2C"/>
    <w:rsid w:val="009F60D9"/>
    <w:rsid w:val="00A00BA0"/>
    <w:rsid w:val="00A037CD"/>
    <w:rsid w:val="00A216F9"/>
    <w:rsid w:val="00A27D4D"/>
    <w:rsid w:val="00A41E92"/>
    <w:rsid w:val="00A463D3"/>
    <w:rsid w:val="00A53559"/>
    <w:rsid w:val="00A900DF"/>
    <w:rsid w:val="00A93372"/>
    <w:rsid w:val="00AA6DC4"/>
    <w:rsid w:val="00AB35A8"/>
    <w:rsid w:val="00AD1D38"/>
    <w:rsid w:val="00AD7CA0"/>
    <w:rsid w:val="00AE3AF0"/>
    <w:rsid w:val="00AF6B41"/>
    <w:rsid w:val="00B04D82"/>
    <w:rsid w:val="00B36662"/>
    <w:rsid w:val="00B4117D"/>
    <w:rsid w:val="00B50432"/>
    <w:rsid w:val="00B8123C"/>
    <w:rsid w:val="00B9061F"/>
    <w:rsid w:val="00B946D4"/>
    <w:rsid w:val="00BA592E"/>
    <w:rsid w:val="00BB61F7"/>
    <w:rsid w:val="00BC29F4"/>
    <w:rsid w:val="00BD261E"/>
    <w:rsid w:val="00BD4271"/>
    <w:rsid w:val="00BD7DED"/>
    <w:rsid w:val="00BD7E3C"/>
    <w:rsid w:val="00BE0372"/>
    <w:rsid w:val="00BE262E"/>
    <w:rsid w:val="00BE5AB5"/>
    <w:rsid w:val="00BF11D3"/>
    <w:rsid w:val="00BF1BCE"/>
    <w:rsid w:val="00C0401A"/>
    <w:rsid w:val="00C1068F"/>
    <w:rsid w:val="00C12F2F"/>
    <w:rsid w:val="00C173ED"/>
    <w:rsid w:val="00C27061"/>
    <w:rsid w:val="00C31F24"/>
    <w:rsid w:val="00C43771"/>
    <w:rsid w:val="00C4463A"/>
    <w:rsid w:val="00C51C65"/>
    <w:rsid w:val="00C63D0F"/>
    <w:rsid w:val="00C7132A"/>
    <w:rsid w:val="00C71565"/>
    <w:rsid w:val="00C8209C"/>
    <w:rsid w:val="00C91614"/>
    <w:rsid w:val="00C969AE"/>
    <w:rsid w:val="00CD1EE2"/>
    <w:rsid w:val="00CD32B4"/>
    <w:rsid w:val="00CE07C7"/>
    <w:rsid w:val="00CE338D"/>
    <w:rsid w:val="00CE6474"/>
    <w:rsid w:val="00CF1ABA"/>
    <w:rsid w:val="00CF4144"/>
    <w:rsid w:val="00D135CE"/>
    <w:rsid w:val="00D16E3D"/>
    <w:rsid w:val="00D2191D"/>
    <w:rsid w:val="00D24413"/>
    <w:rsid w:val="00D372D8"/>
    <w:rsid w:val="00D4391A"/>
    <w:rsid w:val="00D44C09"/>
    <w:rsid w:val="00D6378E"/>
    <w:rsid w:val="00D832F2"/>
    <w:rsid w:val="00DA46BD"/>
    <w:rsid w:val="00DB28D4"/>
    <w:rsid w:val="00DB37A2"/>
    <w:rsid w:val="00DC5EFD"/>
    <w:rsid w:val="00DE0103"/>
    <w:rsid w:val="00DE0835"/>
    <w:rsid w:val="00DE4135"/>
    <w:rsid w:val="00DE4259"/>
    <w:rsid w:val="00DE6026"/>
    <w:rsid w:val="00DF448D"/>
    <w:rsid w:val="00DF44F3"/>
    <w:rsid w:val="00E1179E"/>
    <w:rsid w:val="00E242D2"/>
    <w:rsid w:val="00E24F51"/>
    <w:rsid w:val="00E33ED8"/>
    <w:rsid w:val="00E35B94"/>
    <w:rsid w:val="00E46590"/>
    <w:rsid w:val="00E467A4"/>
    <w:rsid w:val="00E506B2"/>
    <w:rsid w:val="00E70EF5"/>
    <w:rsid w:val="00E740AD"/>
    <w:rsid w:val="00E96BDF"/>
    <w:rsid w:val="00EA135C"/>
    <w:rsid w:val="00EB4034"/>
    <w:rsid w:val="00EB6EB0"/>
    <w:rsid w:val="00ED202D"/>
    <w:rsid w:val="00ED410A"/>
    <w:rsid w:val="00ED6417"/>
    <w:rsid w:val="00EE463C"/>
    <w:rsid w:val="00F01EEE"/>
    <w:rsid w:val="00F16435"/>
    <w:rsid w:val="00F424CA"/>
    <w:rsid w:val="00F446C8"/>
    <w:rsid w:val="00F66FBA"/>
    <w:rsid w:val="00F80426"/>
    <w:rsid w:val="00F86357"/>
    <w:rsid w:val="00F86E10"/>
    <w:rsid w:val="00FA1D61"/>
    <w:rsid w:val="00FA4A18"/>
    <w:rsid w:val="00FB0704"/>
    <w:rsid w:val="00FB3FA5"/>
    <w:rsid w:val="00FB5ED2"/>
    <w:rsid w:val="00FB6B13"/>
    <w:rsid w:val="00FC73DF"/>
    <w:rsid w:val="00FD70BE"/>
    <w:rsid w:val="00FE6D7C"/>
    <w:rsid w:val="02867DB1"/>
    <w:rsid w:val="029729B6"/>
    <w:rsid w:val="0358398D"/>
    <w:rsid w:val="04B96A4C"/>
    <w:rsid w:val="06C63181"/>
    <w:rsid w:val="06C867AC"/>
    <w:rsid w:val="07610F29"/>
    <w:rsid w:val="077943D1"/>
    <w:rsid w:val="088F6118"/>
    <w:rsid w:val="0A095984"/>
    <w:rsid w:val="0A546CFD"/>
    <w:rsid w:val="0AB4001B"/>
    <w:rsid w:val="0C3E7B22"/>
    <w:rsid w:val="0D4634C6"/>
    <w:rsid w:val="0E6352A9"/>
    <w:rsid w:val="101C207C"/>
    <w:rsid w:val="109D16D1"/>
    <w:rsid w:val="11C558AC"/>
    <w:rsid w:val="12912E05"/>
    <w:rsid w:val="13021E3F"/>
    <w:rsid w:val="144349CA"/>
    <w:rsid w:val="14486024"/>
    <w:rsid w:val="14E523C3"/>
    <w:rsid w:val="15651629"/>
    <w:rsid w:val="175F4C67"/>
    <w:rsid w:val="17DF51B5"/>
    <w:rsid w:val="18604C91"/>
    <w:rsid w:val="1B81532C"/>
    <w:rsid w:val="1E181AED"/>
    <w:rsid w:val="1E9F5249"/>
    <w:rsid w:val="212165FA"/>
    <w:rsid w:val="21812D83"/>
    <w:rsid w:val="21E408A9"/>
    <w:rsid w:val="22A93AEA"/>
    <w:rsid w:val="24A948B4"/>
    <w:rsid w:val="24CC02EC"/>
    <w:rsid w:val="28431B9D"/>
    <w:rsid w:val="2A9071E3"/>
    <w:rsid w:val="2AC25434"/>
    <w:rsid w:val="2D385E3D"/>
    <w:rsid w:val="301F5880"/>
    <w:rsid w:val="306D1203"/>
    <w:rsid w:val="343F0843"/>
    <w:rsid w:val="363E3B8C"/>
    <w:rsid w:val="36CE0F9D"/>
    <w:rsid w:val="37DC2334"/>
    <w:rsid w:val="38910B5D"/>
    <w:rsid w:val="390A1721"/>
    <w:rsid w:val="3C3663D5"/>
    <w:rsid w:val="3CFB4CAB"/>
    <w:rsid w:val="3D504924"/>
    <w:rsid w:val="3D6313C6"/>
    <w:rsid w:val="3DC75867"/>
    <w:rsid w:val="3DE5069A"/>
    <w:rsid w:val="3E465FAD"/>
    <w:rsid w:val="3FA141F3"/>
    <w:rsid w:val="3FB86017"/>
    <w:rsid w:val="41566C15"/>
    <w:rsid w:val="42936744"/>
    <w:rsid w:val="42B70F03"/>
    <w:rsid w:val="457E0411"/>
    <w:rsid w:val="45C85C5B"/>
    <w:rsid w:val="473232DB"/>
    <w:rsid w:val="4763732D"/>
    <w:rsid w:val="48E43FA6"/>
    <w:rsid w:val="49D51330"/>
    <w:rsid w:val="4C244078"/>
    <w:rsid w:val="4D655D09"/>
    <w:rsid w:val="4DEA3D63"/>
    <w:rsid w:val="4ED107DE"/>
    <w:rsid w:val="50365B27"/>
    <w:rsid w:val="505605DA"/>
    <w:rsid w:val="50C54111"/>
    <w:rsid w:val="514A216C"/>
    <w:rsid w:val="521114C4"/>
    <w:rsid w:val="532838FB"/>
    <w:rsid w:val="535B2E50"/>
    <w:rsid w:val="548B3542"/>
    <w:rsid w:val="56E11498"/>
    <w:rsid w:val="58B42698"/>
    <w:rsid w:val="59114FB0"/>
    <w:rsid w:val="5B076365"/>
    <w:rsid w:val="5B93724D"/>
    <w:rsid w:val="5CD60B5E"/>
    <w:rsid w:val="5F9B4B6A"/>
    <w:rsid w:val="60422D79"/>
    <w:rsid w:val="60C345CC"/>
    <w:rsid w:val="61E559A8"/>
    <w:rsid w:val="67421678"/>
    <w:rsid w:val="69AE49D0"/>
    <w:rsid w:val="6A254C33"/>
    <w:rsid w:val="6D3867BF"/>
    <w:rsid w:val="6D920153"/>
    <w:rsid w:val="733B1C68"/>
    <w:rsid w:val="74C64922"/>
    <w:rsid w:val="76804F78"/>
    <w:rsid w:val="77CF39A0"/>
    <w:rsid w:val="78F73403"/>
    <w:rsid w:val="7B1072F5"/>
    <w:rsid w:val="7C590591"/>
    <w:rsid w:val="7F2716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0"/>
    <w:pPr>
      <w:keepNext/>
      <w:spacing w:line="240" w:lineRule="atLeast"/>
      <w:jc w:val="right"/>
      <w:outlineLvl w:val="0"/>
    </w:pPr>
    <w:rPr>
      <w:b/>
      <w:bCs/>
      <w:sz w:val="28"/>
    </w:rPr>
  </w:style>
  <w:style w:type="paragraph" w:styleId="3">
    <w:name w:val="heading 2"/>
    <w:basedOn w:val="1"/>
    <w:next w:val="1"/>
    <w:link w:val="47"/>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8"/>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49"/>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0"/>
    <w:qFormat/>
    <w:uiPriority w:val="0"/>
    <w:pPr>
      <w:keepNext/>
      <w:keepLines/>
      <w:spacing w:line="360" w:lineRule="auto"/>
      <w:outlineLvl w:val="4"/>
    </w:pPr>
    <w:rPr>
      <w:rFonts w:eastAsia="黑体"/>
      <w:szCs w:val="20"/>
    </w:rPr>
  </w:style>
  <w:style w:type="paragraph" w:styleId="7">
    <w:name w:val="heading 6"/>
    <w:basedOn w:val="1"/>
    <w:next w:val="1"/>
    <w:link w:val="51"/>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2"/>
    <w:qFormat/>
    <w:uiPriority w:val="0"/>
    <w:pPr>
      <w:keepNext/>
      <w:keepLines/>
      <w:spacing w:before="240" w:after="64" w:line="317" w:lineRule="auto"/>
      <w:outlineLvl w:val="6"/>
    </w:pPr>
    <w:rPr>
      <w:b/>
      <w:sz w:val="24"/>
      <w:szCs w:val="20"/>
    </w:rPr>
  </w:style>
  <w:style w:type="paragraph" w:styleId="9">
    <w:name w:val="heading 8"/>
    <w:basedOn w:val="1"/>
    <w:next w:val="1"/>
    <w:link w:val="53"/>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4"/>
    <w:qFormat/>
    <w:uiPriority w:val="0"/>
    <w:pPr>
      <w:keepNext/>
      <w:keepLines/>
      <w:spacing w:before="240" w:after="64" w:line="317" w:lineRule="auto"/>
      <w:outlineLvl w:val="8"/>
    </w:pPr>
    <w:rPr>
      <w:rFonts w:ascii="Arial" w:hAnsi="Arial" w:eastAsia="黑体"/>
      <w:szCs w:val="20"/>
    </w:rPr>
  </w:style>
  <w:style w:type="character" w:default="1" w:styleId="39">
    <w:name w:val="Default Paragraph Font"/>
    <w:unhideWhenUsed/>
    <w:qFormat/>
    <w:uiPriority w:val="1"/>
  </w:style>
  <w:style w:type="table" w:default="1" w:styleId="38">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7"/>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2"/>
    <w:qFormat/>
    <w:uiPriority w:val="0"/>
    <w:rPr>
      <w:rFonts w:ascii="宋体"/>
      <w:sz w:val="18"/>
      <w:szCs w:val="18"/>
    </w:rPr>
  </w:style>
  <w:style w:type="paragraph" w:styleId="16">
    <w:name w:val="annotation text"/>
    <w:basedOn w:val="1"/>
    <w:link w:val="68"/>
    <w:qFormat/>
    <w:uiPriority w:val="99"/>
    <w:pPr>
      <w:jc w:val="left"/>
    </w:pPr>
  </w:style>
  <w:style w:type="paragraph" w:styleId="17">
    <w:name w:val="Body Text"/>
    <w:basedOn w:val="1"/>
    <w:link w:val="75"/>
    <w:unhideWhenUsed/>
    <w:qFormat/>
    <w:uiPriority w:val="99"/>
    <w:pPr>
      <w:spacing w:after="120"/>
    </w:pPr>
  </w:style>
  <w:style w:type="paragraph" w:styleId="18">
    <w:name w:val="Body Text Indent"/>
    <w:basedOn w:val="1"/>
    <w:link w:val="78"/>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79"/>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0"/>
    <w:qFormat/>
    <w:uiPriority w:val="0"/>
    <w:pPr>
      <w:ind w:left="100" w:leftChars="2500"/>
    </w:pPr>
    <w:rPr>
      <w:kern w:val="0"/>
      <w:sz w:val="28"/>
    </w:rPr>
  </w:style>
  <w:style w:type="paragraph" w:styleId="24">
    <w:name w:val="Body Text Indent 2"/>
    <w:basedOn w:val="1"/>
    <w:link w:val="81"/>
    <w:qFormat/>
    <w:uiPriority w:val="0"/>
    <w:pPr>
      <w:ind w:firstLine="420"/>
    </w:pPr>
    <w:rPr>
      <w:rFonts w:ascii="宋体"/>
      <w:kern w:val="0"/>
      <w:sz w:val="20"/>
    </w:rPr>
  </w:style>
  <w:style w:type="paragraph" w:styleId="25">
    <w:name w:val="Balloon Text"/>
    <w:basedOn w:val="1"/>
    <w:link w:val="45"/>
    <w:unhideWhenUsed/>
    <w:qFormat/>
    <w:uiPriority w:val="0"/>
    <w:rPr>
      <w:sz w:val="18"/>
      <w:szCs w:val="18"/>
    </w:rPr>
  </w:style>
  <w:style w:type="paragraph" w:styleId="26">
    <w:name w:val="footer"/>
    <w:basedOn w:val="1"/>
    <w:link w:val="58"/>
    <w:unhideWhenUsed/>
    <w:qFormat/>
    <w:uiPriority w:val="0"/>
    <w:pPr>
      <w:tabs>
        <w:tab w:val="center" w:pos="4153"/>
        <w:tab w:val="right" w:pos="8306"/>
      </w:tabs>
      <w:snapToGrid w:val="0"/>
      <w:jc w:val="left"/>
    </w:pPr>
    <w:rPr>
      <w:sz w:val="18"/>
      <w:szCs w:val="18"/>
    </w:rPr>
  </w:style>
  <w:style w:type="paragraph" w:styleId="27">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2"/>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5"/>
    <w:qFormat/>
    <w:uiPriority w:val="0"/>
    <w:pPr>
      <w:spacing w:line="360" w:lineRule="auto"/>
      <w:jc w:val="center"/>
    </w:pPr>
    <w:rPr>
      <w:rFonts w:ascii="宋体" w:hAnsi="宋体"/>
      <w:szCs w:val="20"/>
    </w:rPr>
  </w:style>
  <w:style w:type="paragraph" w:styleId="36">
    <w:name w:val="annotation subject"/>
    <w:basedOn w:val="16"/>
    <w:next w:val="16"/>
    <w:link w:val="69"/>
    <w:qFormat/>
    <w:uiPriority w:val="0"/>
    <w:rPr>
      <w:b/>
      <w:bCs/>
    </w:rPr>
  </w:style>
  <w:style w:type="paragraph" w:styleId="37">
    <w:name w:val="Body Text First Indent"/>
    <w:basedOn w:val="17"/>
    <w:link w:val="76"/>
    <w:qFormat/>
    <w:uiPriority w:val="0"/>
    <w:pPr>
      <w:ind w:firstLine="420" w:firstLineChars="100"/>
    </w:pPr>
    <w:rPr>
      <w:rFonts w:hint="eastAsia"/>
    </w:rPr>
  </w:style>
  <w:style w:type="character" w:styleId="40">
    <w:name w:val="Strong"/>
    <w:qFormat/>
    <w:uiPriority w:val="22"/>
    <w:rPr>
      <w:b/>
      <w:bCs/>
    </w:rPr>
  </w:style>
  <w:style w:type="character" w:styleId="41">
    <w:name w:val="page number"/>
    <w:qFormat/>
    <w:uiPriority w:val="0"/>
    <w:rPr>
      <w:rFonts w:hint="default" w:ascii="Times New Roman"/>
    </w:rPr>
  </w:style>
  <w:style w:type="character" w:styleId="42">
    <w:name w:val="FollowedHyperlink"/>
    <w:qFormat/>
    <w:uiPriority w:val="0"/>
    <w:rPr>
      <w:color w:val="954F72"/>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批注框文本 Char"/>
    <w:basedOn w:val="39"/>
    <w:link w:val="25"/>
    <w:qFormat/>
    <w:uiPriority w:val="99"/>
    <w:rPr>
      <w:sz w:val="18"/>
      <w:szCs w:val="18"/>
    </w:rPr>
  </w:style>
  <w:style w:type="character" w:customStyle="1" w:styleId="46">
    <w:name w:val="标题 1 Char"/>
    <w:basedOn w:val="39"/>
    <w:link w:val="2"/>
    <w:qFormat/>
    <w:uiPriority w:val="0"/>
    <w:rPr>
      <w:rFonts w:ascii="Times New Roman" w:hAnsi="Times New Roman" w:eastAsia="宋体" w:cs="Times New Roman"/>
      <w:b/>
      <w:bCs/>
      <w:sz w:val="28"/>
      <w:szCs w:val="24"/>
    </w:rPr>
  </w:style>
  <w:style w:type="character" w:customStyle="1" w:styleId="47">
    <w:name w:val="标题 2 Char"/>
    <w:basedOn w:val="39"/>
    <w:link w:val="3"/>
    <w:qFormat/>
    <w:uiPriority w:val="0"/>
    <w:rPr>
      <w:rFonts w:ascii="Times New Roman" w:hAnsi="Times New Roman" w:eastAsia="黑体" w:cs="Times New Roman"/>
      <w:szCs w:val="20"/>
    </w:rPr>
  </w:style>
  <w:style w:type="character" w:customStyle="1" w:styleId="48">
    <w:name w:val="标题 3 Char"/>
    <w:basedOn w:val="39"/>
    <w:link w:val="4"/>
    <w:qFormat/>
    <w:uiPriority w:val="9"/>
    <w:rPr>
      <w:rFonts w:ascii="Calibri" w:hAnsi="Calibri" w:eastAsia="宋体" w:cs="Times New Roman"/>
      <w:b/>
      <w:bCs/>
      <w:sz w:val="32"/>
      <w:szCs w:val="32"/>
    </w:rPr>
  </w:style>
  <w:style w:type="character" w:customStyle="1" w:styleId="49">
    <w:name w:val="标题 4 Char"/>
    <w:basedOn w:val="39"/>
    <w:link w:val="5"/>
    <w:qFormat/>
    <w:uiPriority w:val="0"/>
    <w:rPr>
      <w:rFonts w:ascii="Arial" w:hAnsi="Arial" w:eastAsia="黑体" w:cs="Times New Roman"/>
      <w:b/>
      <w:sz w:val="28"/>
      <w:szCs w:val="20"/>
    </w:rPr>
  </w:style>
  <w:style w:type="character" w:customStyle="1" w:styleId="50">
    <w:name w:val="标题 5 Char"/>
    <w:basedOn w:val="39"/>
    <w:link w:val="6"/>
    <w:qFormat/>
    <w:uiPriority w:val="0"/>
    <w:rPr>
      <w:rFonts w:ascii="Times New Roman" w:hAnsi="Times New Roman" w:eastAsia="黑体" w:cs="Times New Roman"/>
      <w:szCs w:val="20"/>
    </w:rPr>
  </w:style>
  <w:style w:type="character" w:customStyle="1" w:styleId="51">
    <w:name w:val="标题 6 Char"/>
    <w:basedOn w:val="39"/>
    <w:link w:val="7"/>
    <w:qFormat/>
    <w:uiPriority w:val="0"/>
    <w:rPr>
      <w:rFonts w:ascii="Arial" w:hAnsi="Arial" w:eastAsia="黑体" w:cs="Times New Roman"/>
      <w:b/>
      <w:sz w:val="24"/>
      <w:szCs w:val="20"/>
    </w:rPr>
  </w:style>
  <w:style w:type="character" w:customStyle="1" w:styleId="52">
    <w:name w:val="标题 7 Char"/>
    <w:basedOn w:val="39"/>
    <w:link w:val="8"/>
    <w:qFormat/>
    <w:uiPriority w:val="0"/>
    <w:rPr>
      <w:rFonts w:ascii="Times New Roman" w:hAnsi="Times New Roman" w:eastAsia="宋体" w:cs="Times New Roman"/>
      <w:b/>
      <w:sz w:val="24"/>
      <w:szCs w:val="20"/>
    </w:rPr>
  </w:style>
  <w:style w:type="character" w:customStyle="1" w:styleId="53">
    <w:name w:val="标题 8 Char"/>
    <w:basedOn w:val="39"/>
    <w:link w:val="9"/>
    <w:qFormat/>
    <w:uiPriority w:val="0"/>
    <w:rPr>
      <w:rFonts w:ascii="Arial" w:hAnsi="Arial" w:eastAsia="黑体" w:cs="Times New Roman"/>
      <w:sz w:val="24"/>
      <w:szCs w:val="20"/>
    </w:rPr>
  </w:style>
  <w:style w:type="character" w:customStyle="1" w:styleId="54">
    <w:name w:val="标题 9 Char"/>
    <w:basedOn w:val="39"/>
    <w:link w:val="10"/>
    <w:qFormat/>
    <w:uiPriority w:val="0"/>
    <w:rPr>
      <w:rFonts w:ascii="Arial" w:hAnsi="Arial" w:eastAsia="黑体" w:cs="Times New Roman"/>
      <w:szCs w:val="20"/>
    </w:rPr>
  </w:style>
  <w:style w:type="paragraph" w:customStyle="1" w:styleId="55">
    <w:name w:val="样式6"/>
    <w:basedOn w:val="1"/>
    <w:link w:val="56"/>
    <w:qFormat/>
    <w:uiPriority w:val="0"/>
    <w:pPr>
      <w:topLinePunct/>
      <w:spacing w:before="460" w:after="460" w:line="480" w:lineRule="exact"/>
      <w:jc w:val="center"/>
    </w:pPr>
    <w:rPr>
      <w:rFonts w:eastAsia="黑体"/>
      <w:sz w:val="32"/>
      <w:szCs w:val="20"/>
    </w:rPr>
  </w:style>
  <w:style w:type="character" w:customStyle="1" w:styleId="56">
    <w:name w:val="样式6 Char"/>
    <w:basedOn w:val="39"/>
    <w:link w:val="55"/>
    <w:qFormat/>
    <w:uiPriority w:val="0"/>
    <w:rPr>
      <w:rFonts w:ascii="Times New Roman" w:hAnsi="Times New Roman" w:eastAsia="黑体" w:cs="Times New Roman"/>
      <w:sz w:val="32"/>
      <w:szCs w:val="20"/>
    </w:rPr>
  </w:style>
  <w:style w:type="character" w:customStyle="1" w:styleId="57">
    <w:name w:val="页眉 Char"/>
    <w:basedOn w:val="39"/>
    <w:link w:val="27"/>
    <w:qFormat/>
    <w:uiPriority w:val="0"/>
    <w:rPr>
      <w:rFonts w:ascii="Times New Roman" w:hAnsi="Times New Roman" w:eastAsia="宋体" w:cs="Times New Roman"/>
      <w:sz w:val="18"/>
      <w:szCs w:val="18"/>
    </w:rPr>
  </w:style>
  <w:style w:type="character" w:customStyle="1" w:styleId="58">
    <w:name w:val="页脚 Char"/>
    <w:basedOn w:val="39"/>
    <w:link w:val="26"/>
    <w:qFormat/>
    <w:uiPriority w:val="0"/>
    <w:rPr>
      <w:rFonts w:ascii="Times New Roman" w:hAnsi="Times New Roman" w:eastAsia="宋体" w:cs="Times New Roman"/>
      <w:sz w:val="18"/>
      <w:szCs w:val="18"/>
    </w:rPr>
  </w:style>
  <w:style w:type="paragraph" w:customStyle="1" w:styleId="59">
    <w:name w:val="样式2"/>
    <w:basedOn w:val="1"/>
    <w:qFormat/>
    <w:uiPriority w:val="0"/>
    <w:pPr>
      <w:widowControl/>
      <w:spacing w:line="312" w:lineRule="exact"/>
    </w:pPr>
    <w:rPr>
      <w:rFonts w:ascii="EU-F1" w:eastAsia="黑体"/>
      <w:color w:val="000000"/>
      <w:kern w:val="44"/>
      <w:szCs w:val="21"/>
    </w:rPr>
  </w:style>
  <w:style w:type="paragraph" w:customStyle="1" w:styleId="60">
    <w:name w:val="样式1"/>
    <w:basedOn w:val="1"/>
    <w:link w:val="231"/>
    <w:qFormat/>
    <w:uiPriority w:val="0"/>
    <w:pPr>
      <w:spacing w:line="480" w:lineRule="auto"/>
    </w:pPr>
    <w:rPr>
      <w:rFonts w:ascii="EU-F1" w:eastAsia="黑体"/>
      <w:szCs w:val="21"/>
    </w:rPr>
  </w:style>
  <w:style w:type="paragraph" w:customStyle="1" w:styleId="61">
    <w:name w:val="表头"/>
    <w:basedOn w:val="1"/>
    <w:qFormat/>
    <w:uiPriority w:val="0"/>
    <w:pPr>
      <w:spacing w:before="160" w:after="60" w:line="312" w:lineRule="exact"/>
      <w:jc w:val="center"/>
    </w:pPr>
    <w:rPr>
      <w:rFonts w:ascii="EU-F1" w:eastAsia="黑体"/>
      <w:szCs w:val="21"/>
    </w:rPr>
  </w:style>
  <w:style w:type="paragraph" w:customStyle="1" w:styleId="62">
    <w:name w:val="图片"/>
    <w:basedOn w:val="1"/>
    <w:qFormat/>
    <w:uiPriority w:val="0"/>
    <w:pPr>
      <w:snapToGrid w:val="0"/>
      <w:spacing w:before="100" w:after="60"/>
      <w:jc w:val="center"/>
    </w:pPr>
  </w:style>
  <w:style w:type="paragraph" w:customStyle="1" w:styleId="63">
    <w:name w:val="图说"/>
    <w:basedOn w:val="1"/>
    <w:qFormat/>
    <w:uiPriority w:val="0"/>
    <w:pPr>
      <w:topLinePunct/>
      <w:spacing w:before="60" w:after="160" w:line="312" w:lineRule="exact"/>
      <w:jc w:val="center"/>
    </w:pPr>
    <w:rPr>
      <w:rFonts w:ascii="EU-F1" w:eastAsia="黑体"/>
      <w:szCs w:val="21"/>
    </w:rPr>
  </w:style>
  <w:style w:type="paragraph" w:customStyle="1" w:styleId="64">
    <w:name w:val="Char3"/>
    <w:basedOn w:val="1"/>
    <w:semiHidden/>
    <w:qFormat/>
    <w:uiPriority w:val="0"/>
    <w:rPr>
      <w:szCs w:val="20"/>
    </w:rPr>
  </w:style>
  <w:style w:type="paragraph" w:customStyle="1" w:styleId="65">
    <w:name w:val="样式4"/>
    <w:basedOn w:val="1"/>
    <w:qFormat/>
    <w:uiPriority w:val="0"/>
    <w:pPr>
      <w:spacing w:before="240" w:line="600" w:lineRule="exact"/>
      <w:jc w:val="center"/>
    </w:pPr>
    <w:rPr>
      <w:rFonts w:eastAsia="黑体"/>
      <w:sz w:val="54"/>
      <w:szCs w:val="54"/>
    </w:rPr>
  </w:style>
  <w:style w:type="paragraph" w:customStyle="1" w:styleId="66">
    <w:name w:val="样式4a"/>
    <w:basedOn w:val="1"/>
    <w:qFormat/>
    <w:uiPriority w:val="0"/>
    <w:pPr>
      <w:spacing w:line="600" w:lineRule="exact"/>
      <w:ind w:left="-113" w:right="-113"/>
      <w:jc w:val="center"/>
    </w:pPr>
    <w:rPr>
      <w:rFonts w:eastAsia="黑体"/>
      <w:sz w:val="54"/>
      <w:szCs w:val="54"/>
    </w:rPr>
  </w:style>
  <w:style w:type="paragraph" w:customStyle="1" w:styleId="67">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8">
    <w:name w:val="批注文字 Char"/>
    <w:basedOn w:val="39"/>
    <w:link w:val="16"/>
    <w:qFormat/>
    <w:uiPriority w:val="99"/>
    <w:rPr>
      <w:rFonts w:ascii="Times New Roman" w:hAnsi="Times New Roman" w:eastAsia="宋体" w:cs="Times New Roman"/>
      <w:szCs w:val="24"/>
    </w:rPr>
  </w:style>
  <w:style w:type="character" w:customStyle="1" w:styleId="69">
    <w:name w:val="批注主题 Char"/>
    <w:basedOn w:val="68"/>
    <w:link w:val="36"/>
    <w:qFormat/>
    <w:uiPriority w:val="0"/>
    <w:rPr>
      <w:rFonts w:ascii="Times New Roman" w:hAnsi="Times New Roman" w:eastAsia="宋体" w:cs="Times New Roman"/>
      <w:b/>
      <w:bCs/>
      <w:szCs w:val="24"/>
    </w:rPr>
  </w:style>
  <w:style w:type="paragraph" w:customStyle="1" w:styleId="7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71">
    <w:name w:val="默认段落字体 Para Char Char Char Char Char"/>
    <w:basedOn w:val="1"/>
    <w:semiHidden/>
    <w:qFormat/>
    <w:uiPriority w:val="0"/>
    <w:rPr>
      <w:rFonts w:ascii="宋体" w:hAnsi="宋体"/>
      <w:b/>
      <w:color w:val="000000"/>
      <w:sz w:val="24"/>
    </w:rPr>
  </w:style>
  <w:style w:type="character" w:customStyle="1" w:styleId="72">
    <w:name w:val="文档结构图 Char"/>
    <w:basedOn w:val="39"/>
    <w:link w:val="15"/>
    <w:qFormat/>
    <w:uiPriority w:val="0"/>
    <w:rPr>
      <w:rFonts w:ascii="宋体" w:hAnsi="Times New Roman" w:eastAsia="宋体" w:cs="Times New Roman"/>
      <w:sz w:val="18"/>
      <w:szCs w:val="18"/>
    </w:rPr>
  </w:style>
  <w:style w:type="character" w:customStyle="1" w:styleId="73">
    <w:name w:val="high-light-bg"/>
    <w:basedOn w:val="39"/>
    <w:qFormat/>
    <w:uiPriority w:val="0"/>
  </w:style>
  <w:style w:type="character" w:customStyle="1" w:styleId="74">
    <w:name w:val="apple-converted-space"/>
    <w:basedOn w:val="39"/>
    <w:qFormat/>
    <w:uiPriority w:val="0"/>
  </w:style>
  <w:style w:type="character" w:customStyle="1" w:styleId="75">
    <w:name w:val="正文文本 Char"/>
    <w:basedOn w:val="39"/>
    <w:link w:val="17"/>
    <w:qFormat/>
    <w:uiPriority w:val="99"/>
    <w:rPr>
      <w:rFonts w:ascii="Times New Roman" w:hAnsi="Times New Roman" w:eastAsia="宋体" w:cs="Times New Roman"/>
      <w:szCs w:val="24"/>
    </w:rPr>
  </w:style>
  <w:style w:type="character" w:customStyle="1" w:styleId="76">
    <w:name w:val="正文首行缩进 Char"/>
    <w:basedOn w:val="75"/>
    <w:link w:val="37"/>
    <w:qFormat/>
    <w:uiPriority w:val="0"/>
    <w:rPr>
      <w:rFonts w:ascii="Times New Roman" w:hAnsi="Times New Roman" w:eastAsia="宋体" w:cs="Times New Roman"/>
      <w:szCs w:val="24"/>
    </w:rPr>
  </w:style>
  <w:style w:type="character" w:customStyle="1" w:styleId="77">
    <w:name w:val="题注 Char"/>
    <w:link w:val="13"/>
    <w:qFormat/>
    <w:uiPriority w:val="0"/>
    <w:rPr>
      <w:rFonts w:ascii="Cambria" w:hAnsi="Cambria" w:eastAsia="黑体" w:cs="Times New Roman"/>
      <w:sz w:val="20"/>
      <w:szCs w:val="20"/>
    </w:rPr>
  </w:style>
  <w:style w:type="character" w:customStyle="1" w:styleId="78">
    <w:name w:val="正文文本缩进 Char"/>
    <w:basedOn w:val="39"/>
    <w:link w:val="18"/>
    <w:qFormat/>
    <w:uiPriority w:val="0"/>
    <w:rPr>
      <w:rFonts w:ascii="Times New Roman" w:hAnsi="Times New Roman" w:eastAsia="宋体" w:cs="Times New Roman"/>
      <w:color w:val="000000"/>
      <w:kern w:val="0"/>
      <w:sz w:val="20"/>
      <w:szCs w:val="24"/>
    </w:rPr>
  </w:style>
  <w:style w:type="character" w:customStyle="1" w:styleId="79">
    <w:name w:val="纯文本 Char"/>
    <w:basedOn w:val="39"/>
    <w:link w:val="21"/>
    <w:qFormat/>
    <w:uiPriority w:val="0"/>
    <w:rPr>
      <w:rFonts w:ascii="宋体" w:hAnsi="Courier New" w:eastAsia="宋体" w:cs="Times New Roman"/>
      <w:szCs w:val="20"/>
    </w:rPr>
  </w:style>
  <w:style w:type="character" w:customStyle="1" w:styleId="80">
    <w:name w:val="日期 Char"/>
    <w:basedOn w:val="39"/>
    <w:link w:val="23"/>
    <w:qFormat/>
    <w:uiPriority w:val="0"/>
    <w:rPr>
      <w:rFonts w:ascii="Times New Roman" w:hAnsi="Times New Roman" w:eastAsia="宋体" w:cs="Times New Roman"/>
      <w:kern w:val="0"/>
      <w:sz w:val="28"/>
      <w:szCs w:val="24"/>
    </w:rPr>
  </w:style>
  <w:style w:type="character" w:customStyle="1" w:styleId="81">
    <w:name w:val="正文文本缩进 2 Char"/>
    <w:basedOn w:val="39"/>
    <w:link w:val="24"/>
    <w:qFormat/>
    <w:uiPriority w:val="0"/>
    <w:rPr>
      <w:rFonts w:ascii="宋体" w:hAnsi="Times New Roman" w:eastAsia="宋体" w:cs="Times New Roman"/>
      <w:kern w:val="0"/>
      <w:sz w:val="20"/>
      <w:szCs w:val="24"/>
    </w:rPr>
  </w:style>
  <w:style w:type="character" w:customStyle="1" w:styleId="82">
    <w:name w:val="正文文本缩进 3 Char"/>
    <w:basedOn w:val="39"/>
    <w:link w:val="31"/>
    <w:qFormat/>
    <w:uiPriority w:val="0"/>
    <w:rPr>
      <w:rFonts w:ascii="Times New Roman" w:hAnsi="Times New Roman" w:eastAsia="宋体" w:cs="Times New Roman"/>
      <w:color w:val="0000FF"/>
      <w:kern w:val="0"/>
      <w:sz w:val="20"/>
      <w:szCs w:val="21"/>
    </w:rPr>
  </w:style>
  <w:style w:type="character" w:customStyle="1" w:styleId="83">
    <w:name w:val="标题 Char"/>
    <w:basedOn w:val="39"/>
    <w:link w:val="84"/>
    <w:qFormat/>
    <w:uiPriority w:val="0"/>
    <w:rPr>
      <w:rFonts w:eastAsia="宋体" w:asciiTheme="majorHAnsi" w:hAnsiTheme="majorHAnsi" w:cstheme="majorBidi"/>
      <w:b/>
      <w:bCs/>
      <w:sz w:val="32"/>
      <w:szCs w:val="32"/>
    </w:rPr>
  </w:style>
  <w:style w:type="paragraph" w:customStyle="1" w:styleId="84">
    <w:name w:val="标题5"/>
    <w:basedOn w:val="1"/>
    <w:next w:val="1"/>
    <w:link w:val="83"/>
    <w:unhideWhenUsed/>
    <w:qFormat/>
    <w:uiPriority w:val="0"/>
    <w:pPr>
      <w:spacing w:line="360" w:lineRule="auto"/>
      <w:jc w:val="center"/>
    </w:pPr>
    <w:rPr>
      <w:rFonts w:asciiTheme="majorHAnsi" w:hAnsiTheme="majorHAnsi" w:cstheme="majorBidi"/>
      <w:b/>
      <w:bCs/>
      <w:sz w:val="32"/>
      <w:szCs w:val="32"/>
    </w:rPr>
  </w:style>
  <w:style w:type="character" w:customStyle="1" w:styleId="85">
    <w:name w:val="标题 Char3"/>
    <w:link w:val="35"/>
    <w:qFormat/>
    <w:locked/>
    <w:uiPriority w:val="0"/>
    <w:rPr>
      <w:rFonts w:ascii="宋体" w:hAnsi="宋体" w:eastAsia="宋体" w:cs="Times New Roman"/>
      <w:szCs w:val="20"/>
    </w:rPr>
  </w:style>
  <w:style w:type="paragraph" w:customStyle="1" w:styleId="86">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7">
    <w:name w:val="默认段落字体 Para Char Char Char Char"/>
    <w:basedOn w:val="1"/>
    <w:qFormat/>
    <w:uiPriority w:val="0"/>
  </w:style>
  <w:style w:type="paragraph" w:customStyle="1" w:styleId="88">
    <w:name w:val="正文内容"/>
    <w:basedOn w:val="1"/>
    <w:qFormat/>
    <w:uiPriority w:val="0"/>
    <w:pPr>
      <w:adjustRightInd w:val="0"/>
      <w:snapToGrid w:val="0"/>
    </w:pPr>
    <w:rPr>
      <w:rFonts w:ascii="宋体" w:hAnsi="宋体"/>
      <w:sz w:val="18"/>
      <w:szCs w:val="21"/>
    </w:rPr>
  </w:style>
  <w:style w:type="paragraph" w:customStyle="1" w:styleId="89">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0">
    <w:name w:val="p17"/>
    <w:basedOn w:val="1"/>
    <w:qFormat/>
    <w:uiPriority w:val="0"/>
    <w:pPr>
      <w:widowControl/>
    </w:pPr>
    <w:rPr>
      <w:kern w:val="0"/>
      <w:szCs w:val="21"/>
    </w:rPr>
  </w:style>
  <w:style w:type="paragraph" w:customStyle="1" w:styleId="91">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2">
    <w:name w:val="小五黑体"/>
    <w:basedOn w:val="1"/>
    <w:qFormat/>
    <w:uiPriority w:val="0"/>
    <w:pPr>
      <w:spacing w:line="318" w:lineRule="exact"/>
      <w:jc w:val="center"/>
    </w:pPr>
    <w:rPr>
      <w:rFonts w:ascii="汉仪中黑简" w:eastAsia="汉仪中黑简"/>
      <w:bCs/>
      <w:sz w:val="18"/>
      <w:szCs w:val="21"/>
    </w:rPr>
  </w:style>
  <w:style w:type="paragraph" w:customStyle="1" w:styleId="93">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4">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5">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6">
    <w:name w:val="表名"/>
    <w:basedOn w:val="13"/>
    <w:link w:val="97"/>
    <w:qFormat/>
    <w:uiPriority w:val="0"/>
    <w:pPr>
      <w:keepNext/>
      <w:spacing w:line="240" w:lineRule="auto"/>
      <w:ind w:firstLine="361" w:firstLineChars="150"/>
      <w:jc w:val="left"/>
    </w:pPr>
    <w:rPr>
      <w:rFonts w:ascii="黑体" w:hAnsi="黑体"/>
      <w:b/>
      <w:sz w:val="21"/>
      <w:szCs w:val="24"/>
    </w:rPr>
  </w:style>
  <w:style w:type="character" w:customStyle="1" w:styleId="97">
    <w:name w:val="表名 Char Char"/>
    <w:link w:val="96"/>
    <w:qFormat/>
    <w:uiPriority w:val="0"/>
    <w:rPr>
      <w:rFonts w:ascii="黑体" w:hAnsi="黑体" w:eastAsia="黑体" w:cs="Times New Roman"/>
      <w:b/>
      <w:szCs w:val="24"/>
    </w:rPr>
  </w:style>
  <w:style w:type="paragraph" w:customStyle="1" w:styleId="98">
    <w:name w:val="批注框文本 Char Char"/>
    <w:basedOn w:val="1"/>
    <w:qFormat/>
    <w:uiPriority w:val="99"/>
    <w:pPr>
      <w:ind w:firstLine="200" w:firstLineChars="200"/>
    </w:pPr>
    <w:rPr>
      <w:rFonts w:ascii="Arial" w:hAnsi="Arial"/>
      <w:sz w:val="18"/>
      <w:szCs w:val="18"/>
    </w:rPr>
  </w:style>
  <w:style w:type="paragraph" w:customStyle="1" w:styleId="99">
    <w:name w:val="五号黑体"/>
    <w:basedOn w:val="1"/>
    <w:qFormat/>
    <w:uiPriority w:val="0"/>
    <w:pPr>
      <w:adjustRightInd w:val="0"/>
      <w:snapToGrid w:val="0"/>
      <w:spacing w:line="320" w:lineRule="exact"/>
    </w:pPr>
    <w:rPr>
      <w:rFonts w:eastAsia="汉仪中黑简"/>
      <w:bCs/>
      <w:szCs w:val="21"/>
    </w:rPr>
  </w:style>
  <w:style w:type="paragraph" w:customStyle="1" w:styleId="100">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1">
    <w:name w:val="批注框文本1"/>
    <w:basedOn w:val="1"/>
    <w:qFormat/>
    <w:uiPriority w:val="0"/>
    <w:rPr>
      <w:rFonts w:ascii="方正小标宋_GBK" w:hAnsi="宋体" w:eastAsia="方正小标宋_GBK"/>
      <w:b/>
      <w:sz w:val="18"/>
      <w:szCs w:val="20"/>
    </w:rPr>
  </w:style>
  <w:style w:type="paragraph" w:customStyle="1" w:styleId="102">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103">
    <w:name w:val="列出段落1"/>
    <w:basedOn w:val="1"/>
    <w:qFormat/>
    <w:uiPriority w:val="0"/>
    <w:pPr>
      <w:ind w:firstLine="420" w:firstLineChars="200"/>
    </w:pPr>
  </w:style>
  <w:style w:type="paragraph" w:customStyle="1" w:styleId="104">
    <w:name w:val="小四大宋"/>
    <w:basedOn w:val="1"/>
    <w:qFormat/>
    <w:uiPriority w:val="0"/>
    <w:pPr>
      <w:spacing w:line="320" w:lineRule="exact"/>
    </w:pPr>
    <w:rPr>
      <w:rFonts w:eastAsia="汉仪大宋简"/>
      <w:bCs/>
      <w:sz w:val="24"/>
      <w:szCs w:val="21"/>
    </w:rPr>
  </w:style>
  <w:style w:type="paragraph" w:customStyle="1" w:styleId="105">
    <w:name w:val="修订1"/>
    <w:qFormat/>
    <w:uiPriority w:val="0"/>
    <w:rPr>
      <w:rFonts w:ascii="Arial" w:hAnsi="Arial" w:eastAsia="宋体" w:cs="Times New Roman"/>
      <w:kern w:val="2"/>
      <w:sz w:val="21"/>
      <w:szCs w:val="22"/>
      <w:lang w:val="en-US" w:eastAsia="zh-CN" w:bidi="ar-SA"/>
    </w:rPr>
  </w:style>
  <w:style w:type="paragraph" w:customStyle="1" w:styleId="106">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7">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8">
    <w:name w:val="列出段落111"/>
    <w:basedOn w:val="1"/>
    <w:qFormat/>
    <w:uiPriority w:val="34"/>
    <w:pPr>
      <w:spacing w:line="360" w:lineRule="auto"/>
      <w:ind w:firstLine="420" w:firstLineChars="200"/>
    </w:pPr>
    <w:rPr>
      <w:rFonts w:ascii="Arial" w:hAnsi="Arial" w:cs="Arial"/>
      <w:szCs w:val="21"/>
    </w:rPr>
  </w:style>
  <w:style w:type="paragraph" w:customStyle="1" w:styleId="109">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0">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1">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2">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3">
    <w:name w:val="列出段落11"/>
    <w:basedOn w:val="1"/>
    <w:qFormat/>
    <w:uiPriority w:val="0"/>
    <w:pPr>
      <w:spacing w:line="360" w:lineRule="auto"/>
      <w:ind w:firstLine="420" w:firstLineChars="200"/>
    </w:pPr>
    <w:rPr>
      <w:rFonts w:ascii="Arial" w:hAnsi="Arial" w:cs="Arial"/>
      <w:szCs w:val="21"/>
    </w:rPr>
  </w:style>
  <w:style w:type="paragraph" w:customStyle="1" w:styleId="114">
    <w:name w:val="p0"/>
    <w:basedOn w:val="1"/>
    <w:link w:val="115"/>
    <w:qFormat/>
    <w:uiPriority w:val="0"/>
    <w:pPr>
      <w:widowControl/>
      <w:spacing w:line="500" w:lineRule="atLeast"/>
      <w:ind w:firstLine="420"/>
    </w:pPr>
    <w:rPr>
      <w:rFonts w:ascii="宋体" w:hAnsi="宋体"/>
      <w:kern w:val="0"/>
      <w:szCs w:val="21"/>
    </w:rPr>
  </w:style>
  <w:style w:type="character" w:customStyle="1" w:styleId="115">
    <w:name w:val="p0 Char Char"/>
    <w:link w:val="114"/>
    <w:qFormat/>
    <w:uiPriority w:val="0"/>
    <w:rPr>
      <w:rFonts w:ascii="宋体" w:hAnsi="宋体" w:eastAsia="宋体" w:cs="Times New Roman"/>
      <w:kern w:val="0"/>
      <w:szCs w:val="21"/>
    </w:rPr>
  </w:style>
  <w:style w:type="paragraph" w:customStyle="1" w:styleId="116">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8">
    <w:name w:val="Char Char Char Char Char Char Char"/>
    <w:basedOn w:val="1"/>
    <w:qFormat/>
    <w:uiPriority w:val="0"/>
    <w:rPr>
      <w:szCs w:val="21"/>
    </w:rPr>
  </w:style>
  <w:style w:type="paragraph" w:customStyle="1" w:styleId="119">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0">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1">
    <w:name w:val="付标题"/>
    <w:basedOn w:val="1"/>
    <w:qFormat/>
    <w:uiPriority w:val="0"/>
    <w:pPr>
      <w:adjustRightInd w:val="0"/>
      <w:spacing w:before="360" w:line="360" w:lineRule="auto"/>
      <w:jc w:val="center"/>
    </w:pPr>
    <w:rPr>
      <w:rFonts w:eastAsia="黑体"/>
      <w:kern w:val="0"/>
      <w:sz w:val="48"/>
    </w:rPr>
  </w:style>
  <w:style w:type="paragraph" w:customStyle="1" w:styleId="122">
    <w:name w:val="正文1"/>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23">
    <w:name w:val="Char Char Char Char"/>
    <w:basedOn w:val="1"/>
    <w:qFormat/>
    <w:uiPriority w:val="0"/>
    <w:rPr>
      <w:szCs w:val="21"/>
    </w:rPr>
  </w:style>
  <w:style w:type="paragraph" w:customStyle="1" w:styleId="124">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25">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6">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7">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8">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0">
    <w:name w:val="p20"/>
    <w:basedOn w:val="1"/>
    <w:qFormat/>
    <w:uiPriority w:val="99"/>
    <w:pPr>
      <w:widowControl/>
      <w:spacing w:after="120"/>
    </w:pPr>
    <w:rPr>
      <w:kern w:val="0"/>
      <w:szCs w:val="21"/>
    </w:rPr>
  </w:style>
  <w:style w:type="paragraph" w:customStyle="1" w:styleId="131">
    <w:name w:val="段"/>
    <w:link w:val="132"/>
    <w:qFormat/>
    <w:uiPriority w:val="0"/>
    <w:pPr>
      <w:widowControl w:val="0"/>
      <w:autoSpaceDE w:val="0"/>
      <w:autoSpaceDN w:val="0"/>
      <w:adjustRightInd w:val="0"/>
      <w:spacing w:line="360" w:lineRule="atLeast"/>
      <w:ind w:firstLine="200" w:firstLineChars="200"/>
      <w:jc w:val="both"/>
    </w:pPr>
    <w:rPr>
      <w:rFonts w:ascii="宋体" w:hAnsi="宋体" w:eastAsia="宋体" w:cs="Times New Roman"/>
      <w:kern w:val="0"/>
      <w:sz w:val="20"/>
      <w:szCs w:val="20"/>
      <w:lang w:val="en-US" w:eastAsia="zh-CN" w:bidi="ar-SA"/>
    </w:rPr>
  </w:style>
  <w:style w:type="character" w:customStyle="1" w:styleId="132">
    <w:name w:val="段 Char Char"/>
    <w:link w:val="131"/>
    <w:qFormat/>
    <w:uiPriority w:val="0"/>
    <w:rPr>
      <w:rFonts w:ascii="宋体" w:hAnsi="宋体" w:eastAsia="宋体" w:cs="Times New Roman"/>
      <w:kern w:val="0"/>
      <w:sz w:val="20"/>
      <w:szCs w:val="20"/>
    </w:rPr>
  </w:style>
  <w:style w:type="paragraph" w:customStyle="1" w:styleId="133">
    <w:name w:val="列项——"/>
    <w:qFormat/>
    <w:uiPriority w:val="0"/>
    <w:pPr>
      <w:widowControl w:val="0"/>
      <w:tabs>
        <w:tab w:val="left" w:pos="854"/>
      </w:tabs>
      <w:jc w:val="both"/>
    </w:pPr>
    <w:rPr>
      <w:rFonts w:ascii="宋体" w:hAnsi="Times New Roman" w:eastAsia="宋体" w:cs="宋体"/>
      <w:kern w:val="0"/>
      <w:sz w:val="21"/>
      <w:szCs w:val="21"/>
      <w:lang w:val="en-US" w:eastAsia="zh-CN" w:bidi="ar-SA"/>
    </w:rPr>
  </w:style>
  <w:style w:type="paragraph" w:customStyle="1" w:styleId="134">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5">
    <w:name w:val="纯文本 + (符号) 宋体"/>
    <w:basedOn w:val="114"/>
    <w:link w:val="136"/>
    <w:qFormat/>
    <w:uiPriority w:val="0"/>
    <w:pPr>
      <w:spacing w:line="360" w:lineRule="auto"/>
      <w:ind w:firstLine="480" w:firstLineChars="200"/>
    </w:pPr>
    <w:rPr>
      <w:rFonts w:ascii="Times New Roman"/>
      <w:spacing w:val="20"/>
    </w:rPr>
  </w:style>
  <w:style w:type="character" w:customStyle="1" w:styleId="136">
    <w:name w:val="纯文本 + (符号) 宋体 Char"/>
    <w:link w:val="135"/>
    <w:qFormat/>
    <w:uiPriority w:val="0"/>
    <w:rPr>
      <w:rFonts w:ascii="Times New Roman" w:hAnsi="宋体" w:eastAsia="宋体" w:cs="Times New Roman"/>
      <w:spacing w:val="20"/>
      <w:kern w:val="0"/>
      <w:szCs w:val="21"/>
    </w:rPr>
  </w:style>
  <w:style w:type="paragraph" w:customStyle="1" w:styleId="13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39">
    <w:name w:val="p15"/>
    <w:basedOn w:val="1"/>
    <w:qFormat/>
    <w:uiPriority w:val="0"/>
    <w:pPr>
      <w:widowControl/>
      <w:jc w:val="left"/>
    </w:pPr>
    <w:rPr>
      <w:kern w:val="0"/>
      <w:sz w:val="18"/>
      <w:szCs w:val="18"/>
    </w:rPr>
  </w:style>
  <w:style w:type="paragraph" w:customStyle="1" w:styleId="140">
    <w:name w:val="一级条标题"/>
    <w:next w:val="1"/>
    <w:link w:val="232"/>
    <w:qFormat/>
    <w:uiPriority w:val="0"/>
    <w:pPr>
      <w:tabs>
        <w:tab w:val="left" w:pos="0"/>
      </w:tabs>
      <w:spacing w:beforeLines="50" w:afterLines="50"/>
      <w:ind w:left="992" w:hanging="567"/>
      <w:outlineLvl w:val="2"/>
    </w:pPr>
    <w:rPr>
      <w:rFonts w:ascii="黑体" w:hAnsi="Times New Roman" w:eastAsia="黑体" w:cs="Times New Roman"/>
      <w:kern w:val="0"/>
      <w:sz w:val="21"/>
      <w:szCs w:val="21"/>
      <w:lang w:val="en-US" w:eastAsia="zh-CN" w:bidi="ar-SA"/>
    </w:rPr>
  </w:style>
  <w:style w:type="paragraph" w:customStyle="1" w:styleId="141">
    <w:name w:val="TOC 标题1"/>
    <w:basedOn w:val="127"/>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2">
    <w:name w:val="p16"/>
    <w:basedOn w:val="1"/>
    <w:qFormat/>
    <w:uiPriority w:val="0"/>
    <w:pPr>
      <w:widowControl/>
      <w:pBdr>
        <w:bottom w:val="single" w:color="000000" w:sz="6" w:space="1"/>
      </w:pBdr>
      <w:jc w:val="center"/>
    </w:pPr>
    <w:rPr>
      <w:kern w:val="0"/>
      <w:sz w:val="18"/>
      <w:szCs w:val="18"/>
    </w:rPr>
  </w:style>
  <w:style w:type="paragraph" w:customStyle="1" w:styleId="143">
    <w:name w:val="p18"/>
    <w:basedOn w:val="1"/>
    <w:qFormat/>
    <w:uiPriority w:val="0"/>
    <w:pPr>
      <w:widowControl/>
      <w:jc w:val="left"/>
    </w:pPr>
    <w:rPr>
      <w:kern w:val="0"/>
      <w:sz w:val="18"/>
      <w:szCs w:val="18"/>
    </w:rPr>
  </w:style>
  <w:style w:type="paragraph" w:customStyle="1" w:styleId="144">
    <w:name w:val="正文文本3"/>
    <w:basedOn w:val="1"/>
    <w:link w:val="145"/>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5">
    <w:name w:val="正文文本_"/>
    <w:link w:val="144"/>
    <w:qFormat/>
    <w:uiPriority w:val="0"/>
    <w:rPr>
      <w:rFonts w:ascii="MingLiU" w:hAnsi="MingLiU" w:eastAsia="MingLiU" w:cs="Times New Roman"/>
      <w:kern w:val="0"/>
      <w:sz w:val="22"/>
      <w:shd w:val="clear" w:color="auto" w:fill="FFFFFF"/>
      <w:lang w:val="zh-TW"/>
    </w:rPr>
  </w:style>
  <w:style w:type="paragraph" w:customStyle="1" w:styleId="146">
    <w:name w:val="纯文本1"/>
    <w:basedOn w:val="1"/>
    <w:qFormat/>
    <w:uiPriority w:val="0"/>
    <w:rPr>
      <w:rFonts w:ascii="宋体" w:hAnsi="Courier New" w:eastAsia="方正小标宋_GBK"/>
      <w:b/>
      <w:szCs w:val="20"/>
    </w:rPr>
  </w:style>
  <w:style w:type="paragraph" w:customStyle="1" w:styleId="147">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8">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49">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0">
    <w:name w:val="正文2"/>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51">
    <w:name w:val="实施日期"/>
    <w:basedOn w:val="152"/>
    <w:qFormat/>
    <w:uiPriority w:val="0"/>
    <w:pPr>
      <w:jc w:val="right"/>
    </w:pPr>
  </w:style>
  <w:style w:type="paragraph" w:customStyle="1" w:styleId="152">
    <w:name w:val="发布日期"/>
    <w:qFormat/>
    <w:uiPriority w:val="0"/>
    <w:rPr>
      <w:rFonts w:ascii="Times New Roman" w:hAnsi="Times New Roman" w:eastAsia="黑体" w:cs="Times New Roman"/>
      <w:kern w:val="0"/>
      <w:sz w:val="28"/>
      <w:szCs w:val="20"/>
      <w:lang w:val="en-US" w:eastAsia="zh-CN" w:bidi="ar-SA"/>
    </w:rPr>
  </w:style>
  <w:style w:type="paragraph" w:customStyle="1" w:styleId="153">
    <w:name w:val="Char1"/>
    <w:basedOn w:val="1"/>
    <w:qFormat/>
    <w:uiPriority w:val="0"/>
    <w:rPr>
      <w:szCs w:val="20"/>
    </w:rPr>
  </w:style>
  <w:style w:type="paragraph" w:customStyle="1" w:styleId="154">
    <w:name w:val="标准标志"/>
    <w:next w:val="1"/>
    <w:qFormat/>
    <w:uiPriority w:val="0"/>
    <w:pPr>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155">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6">
    <w:name w:val="Char3 Char Char Char"/>
    <w:basedOn w:val="1"/>
    <w:qFormat/>
    <w:uiPriority w:val="0"/>
    <w:rPr>
      <w:sz w:val="28"/>
    </w:rPr>
  </w:style>
  <w:style w:type="paragraph" w:customStyle="1" w:styleId="157">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8">
    <w:name w:val="p19"/>
    <w:basedOn w:val="1"/>
    <w:qFormat/>
    <w:uiPriority w:val="0"/>
    <w:pPr>
      <w:widowControl/>
      <w:spacing w:after="120"/>
    </w:pPr>
    <w:rPr>
      <w:kern w:val="0"/>
      <w:szCs w:val="21"/>
    </w:rPr>
  </w:style>
  <w:style w:type="paragraph" w:customStyle="1" w:styleId="15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paragraph" w:customStyle="1" w:styleId="160">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1">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2">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3">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4">
    <w:name w:val="font6"/>
    <w:basedOn w:val="1"/>
    <w:qFormat/>
    <w:uiPriority w:val="0"/>
    <w:pPr>
      <w:widowControl/>
      <w:spacing w:before="100" w:beforeAutospacing="1" w:after="100" w:afterAutospacing="1"/>
      <w:jc w:val="left"/>
    </w:pPr>
    <w:rPr>
      <w:color w:val="000000"/>
      <w:kern w:val="0"/>
      <w:szCs w:val="21"/>
    </w:rPr>
  </w:style>
  <w:style w:type="paragraph" w:customStyle="1" w:styleId="165">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6">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8">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69">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1">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2">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3">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正文3"/>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75">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6">
    <w:name w:val="段落"/>
    <w:basedOn w:val="1"/>
    <w:link w:val="177"/>
    <w:qFormat/>
    <w:uiPriority w:val="0"/>
    <w:pPr>
      <w:adjustRightInd w:val="0"/>
      <w:spacing w:line="360" w:lineRule="auto"/>
      <w:ind w:firstLine="567"/>
      <w:textAlignment w:val="baseline"/>
    </w:pPr>
    <w:rPr>
      <w:rFonts w:eastAsia="仿宋_GB2312"/>
      <w:sz w:val="28"/>
      <w:szCs w:val="20"/>
    </w:rPr>
  </w:style>
  <w:style w:type="character" w:customStyle="1" w:styleId="177">
    <w:name w:val="段落 Char Char"/>
    <w:link w:val="176"/>
    <w:qFormat/>
    <w:uiPriority w:val="0"/>
    <w:rPr>
      <w:rFonts w:ascii="Times New Roman" w:hAnsi="Times New Roman" w:eastAsia="仿宋_GB2312" w:cs="Times New Roman"/>
      <w:sz w:val="28"/>
      <w:szCs w:val="20"/>
    </w:rPr>
  </w:style>
  <w:style w:type="paragraph" w:customStyle="1" w:styleId="178">
    <w:name w:val="页脚2"/>
    <w:basedOn w:val="1"/>
    <w:qFormat/>
    <w:uiPriority w:val="0"/>
    <w:pPr>
      <w:tabs>
        <w:tab w:val="center" w:pos="4153"/>
        <w:tab w:val="right" w:pos="8306"/>
      </w:tabs>
      <w:snapToGrid w:val="0"/>
      <w:jc w:val="left"/>
    </w:pPr>
    <w:rPr>
      <w:sz w:val="18"/>
      <w:szCs w:val="20"/>
    </w:rPr>
  </w:style>
  <w:style w:type="paragraph" w:customStyle="1" w:styleId="179">
    <w:name w:val="批注框文本2"/>
    <w:basedOn w:val="1"/>
    <w:qFormat/>
    <w:uiPriority w:val="0"/>
    <w:rPr>
      <w:rFonts w:ascii="方正小标宋_GBK" w:hAnsi="宋体" w:eastAsia="方正小标宋_GBK"/>
      <w:b/>
      <w:sz w:val="18"/>
      <w:szCs w:val="20"/>
    </w:rPr>
  </w:style>
  <w:style w:type="paragraph" w:customStyle="1" w:styleId="180">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1">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2">
    <w:name w:val="列出段落2"/>
    <w:basedOn w:val="1"/>
    <w:qFormat/>
    <w:uiPriority w:val="0"/>
    <w:pPr>
      <w:spacing w:line="360" w:lineRule="auto"/>
      <w:ind w:firstLine="420" w:firstLineChars="200"/>
    </w:pPr>
    <w:rPr>
      <w:rFonts w:ascii="Arial" w:hAnsi="Arial" w:cs="Arial"/>
      <w:szCs w:val="21"/>
    </w:rPr>
  </w:style>
  <w:style w:type="paragraph" w:customStyle="1" w:styleId="183">
    <w:name w:val="纯文本2"/>
    <w:basedOn w:val="1"/>
    <w:qFormat/>
    <w:uiPriority w:val="0"/>
    <w:rPr>
      <w:rFonts w:ascii="宋体" w:hAnsi="Courier New" w:eastAsia="方正小标宋_GBK"/>
      <w:b/>
      <w:szCs w:val="20"/>
    </w:rPr>
  </w:style>
  <w:style w:type="paragraph" w:customStyle="1" w:styleId="184">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5">
    <w:name w:val="正文4"/>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character" w:customStyle="1" w:styleId="186">
    <w:name w:val="纯文本 Char1"/>
    <w:qFormat/>
    <w:uiPriority w:val="0"/>
    <w:rPr>
      <w:rFonts w:hint="eastAsia" w:ascii="宋体" w:hAnsi="Courier New" w:eastAsia="宋体"/>
      <w:sz w:val="21"/>
    </w:rPr>
  </w:style>
  <w:style w:type="character" w:customStyle="1" w:styleId="187">
    <w:name w:val="访问过的超链接1"/>
    <w:qFormat/>
    <w:uiPriority w:val="0"/>
    <w:rPr>
      <w:color w:val="800080"/>
      <w:u w:val="single"/>
    </w:rPr>
  </w:style>
  <w:style w:type="character" w:customStyle="1" w:styleId="188">
    <w:name w:val="正文文本缩进 3 Char1"/>
    <w:qFormat/>
    <w:uiPriority w:val="0"/>
    <w:rPr>
      <w:rFonts w:hint="eastAsia" w:ascii="宋体" w:hAnsi="宋体" w:eastAsia="宋体" w:cs="Times New Roman"/>
      <w:sz w:val="16"/>
      <w:szCs w:val="16"/>
    </w:rPr>
  </w:style>
  <w:style w:type="character" w:customStyle="1" w:styleId="189">
    <w:name w:val="文档结构图 Char1"/>
    <w:qFormat/>
    <w:uiPriority w:val="0"/>
    <w:rPr>
      <w:rFonts w:hint="eastAsia" w:ascii="宋体" w:hAnsi="宋体" w:eastAsia="宋体" w:cs="Times New Roman"/>
      <w:sz w:val="18"/>
      <w:szCs w:val="18"/>
    </w:rPr>
  </w:style>
  <w:style w:type="character" w:customStyle="1" w:styleId="190">
    <w:name w:val="A0"/>
    <w:qFormat/>
    <w:uiPriority w:val="0"/>
    <w:rPr>
      <w:rFonts w:cs=".."/>
      <w:color w:val="000000"/>
      <w:sz w:val="22"/>
      <w:szCs w:val="22"/>
    </w:rPr>
  </w:style>
  <w:style w:type="character" w:customStyle="1" w:styleId="191">
    <w:name w:val="标题 Char1"/>
    <w:qFormat/>
    <w:uiPriority w:val="0"/>
    <w:rPr>
      <w:rFonts w:ascii="Calibri Light" w:hAnsi="Calibri Light" w:cs="Times New Roman"/>
      <w:b/>
      <w:bCs/>
      <w:kern w:val="2"/>
      <w:sz w:val="32"/>
      <w:szCs w:val="32"/>
    </w:rPr>
  </w:style>
  <w:style w:type="character" w:customStyle="1" w:styleId="192">
    <w:name w:val="Footer Char"/>
    <w:qFormat/>
    <w:uiPriority w:val="0"/>
    <w:rPr>
      <w:sz w:val="18"/>
    </w:rPr>
  </w:style>
  <w:style w:type="character" w:customStyle="1" w:styleId="193">
    <w:name w:val="正文文本缩进 2 Char1"/>
    <w:qFormat/>
    <w:uiPriority w:val="0"/>
    <w:rPr>
      <w:rFonts w:hint="eastAsia" w:ascii="宋体" w:hAnsi="宋体" w:eastAsia="宋体"/>
      <w:kern w:val="2"/>
      <w:sz w:val="21"/>
      <w:szCs w:val="22"/>
    </w:rPr>
  </w:style>
  <w:style w:type="character" w:customStyle="1" w:styleId="194">
    <w:name w:val="日期 Char1"/>
    <w:qFormat/>
    <w:uiPriority w:val="0"/>
    <w:rPr>
      <w:rFonts w:hint="eastAsia" w:ascii="宋体" w:hAnsi="宋体" w:eastAsia="宋体" w:cs="Times New Roman"/>
    </w:rPr>
  </w:style>
  <w:style w:type="character" w:customStyle="1" w:styleId="195">
    <w:name w:val="font01"/>
    <w:qFormat/>
    <w:uiPriority w:val="0"/>
    <w:rPr>
      <w:rFonts w:hint="eastAsia" w:ascii="宋体" w:hAnsi="宋体" w:eastAsia="宋体"/>
      <w:color w:val="000000"/>
      <w:sz w:val="24"/>
      <w:szCs w:val="24"/>
      <w:u w:val="none"/>
    </w:rPr>
  </w:style>
  <w:style w:type="character" w:customStyle="1" w:styleId="196">
    <w:name w:val="页眉 Char1"/>
    <w:qFormat/>
    <w:uiPriority w:val="0"/>
    <w:rPr>
      <w:rFonts w:hint="eastAsia" w:ascii="宋体" w:hAnsi="宋体" w:eastAsia="宋体" w:cs="Times New Roman"/>
      <w:sz w:val="18"/>
      <w:szCs w:val="18"/>
    </w:rPr>
  </w:style>
  <w:style w:type="character" w:customStyle="1" w:styleId="197">
    <w:name w:val="表格题注 Char Char"/>
    <w:qFormat/>
    <w:uiPriority w:val="0"/>
    <w:rPr>
      <w:rFonts w:hint="default" w:ascii="Arial" w:hAnsi="Arial" w:cs="Times New Roman"/>
      <w:b/>
      <w:bCs/>
      <w:szCs w:val="32"/>
    </w:rPr>
  </w:style>
  <w:style w:type="character" w:customStyle="1" w:styleId="198">
    <w:name w:val="Body Text Indent Char"/>
    <w:qFormat/>
    <w:uiPriority w:val="0"/>
    <w:rPr>
      <w:rFonts w:ascii="宋体"/>
      <w:sz w:val="24"/>
    </w:rPr>
  </w:style>
  <w:style w:type="character" w:customStyle="1" w:styleId="199">
    <w:name w:val="发布"/>
    <w:qFormat/>
    <w:uiPriority w:val="0"/>
    <w:rPr>
      <w:rFonts w:ascii="黑体" w:eastAsia="黑体"/>
      <w:spacing w:val="22"/>
      <w:w w:val="100"/>
      <w:position w:val="3"/>
      <w:sz w:val="28"/>
    </w:rPr>
  </w:style>
  <w:style w:type="character" w:customStyle="1" w:styleId="200">
    <w:name w:val="纯文本 Char2"/>
    <w:qFormat/>
    <w:uiPriority w:val="0"/>
    <w:rPr>
      <w:rFonts w:ascii="宋体" w:hAnsi="Courier New" w:cs="Courier New"/>
      <w:kern w:val="2"/>
      <w:sz w:val="21"/>
      <w:szCs w:val="21"/>
    </w:rPr>
  </w:style>
  <w:style w:type="character" w:customStyle="1" w:styleId="201">
    <w:name w:val="页脚 Char1"/>
    <w:qFormat/>
    <w:uiPriority w:val="0"/>
    <w:rPr>
      <w:rFonts w:hint="eastAsia" w:ascii="宋体" w:hAnsi="宋体" w:eastAsia="宋体" w:cs="Times New Roman"/>
      <w:sz w:val="18"/>
      <w:szCs w:val="18"/>
    </w:rPr>
  </w:style>
  <w:style w:type="character" w:customStyle="1" w:styleId="202">
    <w:name w:val="正文文本缩进 Char1"/>
    <w:qFormat/>
    <w:uiPriority w:val="0"/>
    <w:rPr>
      <w:rFonts w:hint="eastAsia" w:ascii="宋体" w:hAnsi="宋体" w:eastAsia="宋体"/>
      <w:kern w:val="2"/>
      <w:sz w:val="21"/>
      <w:szCs w:val="22"/>
    </w:rPr>
  </w:style>
  <w:style w:type="character" w:customStyle="1" w:styleId="203">
    <w:name w:val="批注框文本 Char1"/>
    <w:qFormat/>
    <w:uiPriority w:val="0"/>
    <w:rPr>
      <w:rFonts w:hint="eastAsia" w:ascii="宋体" w:hAnsi="宋体" w:eastAsia="宋体" w:cs="Times New Roman"/>
      <w:sz w:val="18"/>
      <w:szCs w:val="18"/>
    </w:rPr>
  </w:style>
  <w:style w:type="character" w:customStyle="1" w:styleId="204">
    <w:name w:val="表格文字 Char Char"/>
    <w:qFormat/>
    <w:uiPriority w:val="0"/>
    <w:rPr>
      <w:rFonts w:hint="eastAsia" w:ascii="汉仪书宋二简" w:hAnsi="宋体" w:eastAsia="汉仪书宋二简" w:cs="Times New Roman"/>
      <w:sz w:val="18"/>
      <w:szCs w:val="18"/>
    </w:rPr>
  </w:style>
  <w:style w:type="character" w:customStyle="1" w:styleId="205">
    <w:name w:val="占位符文本1"/>
    <w:qFormat/>
    <w:uiPriority w:val="0"/>
    <w:rPr>
      <w:color w:val="808080"/>
    </w:rPr>
  </w:style>
  <w:style w:type="character" w:customStyle="1" w:styleId="206">
    <w:name w:val="ask-title"/>
    <w:qFormat/>
    <w:uiPriority w:val="0"/>
  </w:style>
  <w:style w:type="character" w:customStyle="1" w:styleId="207">
    <w:name w:val="批注框文本 Char Char Char Char"/>
    <w:qFormat/>
    <w:locked/>
    <w:uiPriority w:val="0"/>
    <w:rPr>
      <w:rFonts w:ascii="Arial" w:hAnsi="Arial" w:cs="Arial"/>
      <w:kern w:val="2"/>
      <w:sz w:val="18"/>
      <w:szCs w:val="18"/>
    </w:rPr>
  </w:style>
  <w:style w:type="character" w:customStyle="1" w:styleId="208">
    <w:name w:val="段 Char"/>
    <w:qFormat/>
    <w:locked/>
    <w:uiPriority w:val="0"/>
    <w:rPr>
      <w:rFonts w:ascii="宋体" w:hAnsi="宋体"/>
      <w:lang w:val="en-US" w:eastAsia="zh-CN" w:bidi="ar-SA"/>
    </w:rPr>
  </w:style>
  <w:style w:type="character" w:customStyle="1" w:styleId="209">
    <w:name w:val="表名 Char"/>
    <w:qFormat/>
    <w:uiPriority w:val="0"/>
    <w:rPr>
      <w:rFonts w:ascii="黑体" w:hAnsi="黑体" w:eastAsia="黑体"/>
      <w:b/>
      <w:kern w:val="2"/>
      <w:sz w:val="21"/>
      <w:szCs w:val="24"/>
    </w:rPr>
  </w:style>
  <w:style w:type="character" w:customStyle="1" w:styleId="210">
    <w:name w:val="段落 Char"/>
    <w:qFormat/>
    <w:uiPriority w:val="0"/>
    <w:rPr>
      <w:rFonts w:eastAsia="仿宋_GB2312"/>
      <w:sz w:val="28"/>
    </w:rPr>
  </w:style>
  <w:style w:type="character" w:customStyle="1" w:styleId="211">
    <w:name w:val="标题 1 Char1"/>
    <w:qFormat/>
    <w:uiPriority w:val="0"/>
    <w:rPr>
      <w:b/>
      <w:bCs/>
      <w:kern w:val="44"/>
      <w:sz w:val="44"/>
      <w:szCs w:val="44"/>
    </w:rPr>
  </w:style>
  <w:style w:type="character" w:customStyle="1" w:styleId="212">
    <w:name w:val="批注框文本 Char2"/>
    <w:qFormat/>
    <w:locked/>
    <w:uiPriority w:val="99"/>
    <w:rPr>
      <w:rFonts w:ascii="Arial" w:hAnsi="Arial" w:cs="Arial"/>
      <w:kern w:val="2"/>
      <w:sz w:val="18"/>
      <w:szCs w:val="18"/>
    </w:rPr>
  </w:style>
  <w:style w:type="character" w:customStyle="1" w:styleId="213">
    <w:name w:val="标题 Char2"/>
    <w:qFormat/>
    <w:locked/>
    <w:uiPriority w:val="10"/>
    <w:rPr>
      <w:rFonts w:ascii="宋体" w:hAnsi="宋体" w:eastAsia="宋体" w:cs="Times New Roman"/>
      <w:bCs/>
      <w:kern w:val="0"/>
      <w:szCs w:val="32"/>
    </w:rPr>
  </w:style>
  <w:style w:type="character" w:customStyle="1" w:styleId="214">
    <w:name w:val="Char Char6"/>
    <w:qFormat/>
    <w:uiPriority w:val="0"/>
    <w:rPr>
      <w:rFonts w:ascii="Arial" w:hAnsi="Arial"/>
      <w:kern w:val="2"/>
      <w:sz w:val="18"/>
    </w:rPr>
  </w:style>
  <w:style w:type="character" w:customStyle="1" w:styleId="215">
    <w:name w:val="font21"/>
    <w:qFormat/>
    <w:uiPriority w:val="0"/>
    <w:rPr>
      <w:rFonts w:hint="default" w:ascii="Times New Roman" w:hAnsi="Times New Roman" w:cs="Times New Roman"/>
      <w:b/>
      <w:bCs/>
      <w:color w:val="000000"/>
      <w:sz w:val="18"/>
      <w:szCs w:val="18"/>
      <w:u w:val="none"/>
    </w:rPr>
  </w:style>
  <w:style w:type="character" w:customStyle="1" w:styleId="216">
    <w:name w:val="font31"/>
    <w:qFormat/>
    <w:uiPriority w:val="0"/>
    <w:rPr>
      <w:rFonts w:hint="default" w:ascii="Times New Roman" w:hAnsi="Times New Roman" w:cs="Times New Roman"/>
      <w:color w:val="000000"/>
      <w:sz w:val="18"/>
      <w:szCs w:val="18"/>
      <w:u w:val="none"/>
    </w:rPr>
  </w:style>
  <w:style w:type="character" w:customStyle="1" w:styleId="217">
    <w:name w:val="font41"/>
    <w:qFormat/>
    <w:uiPriority w:val="0"/>
    <w:rPr>
      <w:rFonts w:hint="eastAsia" w:ascii="宋体" w:hAnsi="宋体" w:eastAsia="宋体"/>
      <w:color w:val="000000"/>
      <w:sz w:val="18"/>
      <w:szCs w:val="18"/>
      <w:u w:val="none"/>
    </w:rPr>
  </w:style>
  <w:style w:type="character" w:customStyle="1" w:styleId="218">
    <w:name w:val="Char Char61"/>
    <w:unhideWhenUsed/>
    <w:qFormat/>
    <w:uiPriority w:val="0"/>
    <w:rPr>
      <w:rFonts w:hint="default" w:ascii="Arial"/>
      <w:kern w:val="2"/>
      <w:sz w:val="18"/>
    </w:rPr>
  </w:style>
  <w:style w:type="character" w:customStyle="1" w:styleId="219">
    <w:name w:val="标题 1 Char2"/>
    <w:qFormat/>
    <w:locked/>
    <w:uiPriority w:val="0"/>
    <w:rPr>
      <w:rFonts w:ascii="宋体" w:hAnsi="宋体"/>
      <w:b/>
      <w:bCs/>
      <w:kern w:val="44"/>
      <w:sz w:val="32"/>
      <w:szCs w:val="44"/>
    </w:rPr>
  </w:style>
  <w:style w:type="paragraph" w:customStyle="1" w:styleId="220">
    <w:name w:val="样式"/>
    <w:next w:val="1"/>
    <w:qFormat/>
    <w:uiPriority w:val="0"/>
    <w:pPr>
      <w:widowControl w:val="0"/>
      <w:jc w:val="both"/>
    </w:pPr>
    <w:rPr>
      <w:rFonts w:ascii="Times New Roman" w:hAnsi="Times New Roman" w:eastAsia="宋体" w:cs="Times New Roman"/>
      <w:kern w:val="2"/>
      <w:sz w:val="21"/>
      <w:szCs w:val="20"/>
      <w:lang w:val="en-US" w:eastAsia="zh-CN" w:bidi="ar-SA"/>
    </w:rPr>
  </w:style>
  <w:style w:type="character" w:customStyle="1" w:styleId="221">
    <w:name w:val="标题 Char21"/>
    <w:qFormat/>
    <w:uiPriority w:val="0"/>
    <w:rPr>
      <w:rFonts w:ascii="Calibri Light"/>
      <w:b/>
      <w:kern w:val="2"/>
      <w:sz w:val="32"/>
    </w:rPr>
  </w:style>
  <w:style w:type="paragraph" w:customStyle="1" w:styleId="222">
    <w:name w:val="TOC Heading"/>
    <w:basedOn w:val="2"/>
    <w:next w:val="1"/>
    <w:unhideWhenUsed/>
    <w:qFormat/>
    <w:uiPriority w:val="39"/>
    <w:pPr>
      <w:keepLines/>
      <w:spacing w:before="340" w:after="330" w:line="578" w:lineRule="auto"/>
      <w:jc w:val="both"/>
      <w:outlineLvl w:val="9"/>
    </w:pPr>
    <w:rPr>
      <w:kern w:val="44"/>
      <w:sz w:val="44"/>
      <w:szCs w:val="44"/>
    </w:rPr>
  </w:style>
  <w:style w:type="character" w:customStyle="1" w:styleId="223">
    <w:name w:val="标题 2 Char1"/>
    <w:basedOn w:val="39"/>
    <w:semiHidden/>
    <w:qFormat/>
    <w:uiPriority w:val="0"/>
    <w:rPr>
      <w:rFonts w:hint="default" w:asciiTheme="majorHAnsi" w:hAnsiTheme="majorHAnsi" w:eastAsiaTheme="majorEastAsia" w:cstheme="majorBidi"/>
      <w:b/>
      <w:bCs/>
      <w:kern w:val="2"/>
      <w:sz w:val="32"/>
      <w:szCs w:val="32"/>
    </w:rPr>
  </w:style>
  <w:style w:type="character" w:customStyle="1" w:styleId="224">
    <w:name w:val="标题 3 Char1"/>
    <w:basedOn w:val="39"/>
    <w:semiHidden/>
    <w:qFormat/>
    <w:uiPriority w:val="9"/>
    <w:rPr>
      <w:rFonts w:hint="eastAsia" w:ascii="宋体" w:hAnsi="宋体" w:eastAsia="宋体" w:cs="Times New Roman"/>
      <w:b/>
      <w:bCs/>
      <w:kern w:val="2"/>
      <w:sz w:val="32"/>
      <w:szCs w:val="32"/>
    </w:rPr>
  </w:style>
  <w:style w:type="character" w:customStyle="1" w:styleId="225">
    <w:name w:val="标题 4 Char1"/>
    <w:basedOn w:val="39"/>
    <w:semiHidden/>
    <w:qFormat/>
    <w:uiPriority w:val="0"/>
    <w:rPr>
      <w:rFonts w:hint="default" w:asciiTheme="majorHAnsi" w:hAnsiTheme="majorHAnsi" w:eastAsiaTheme="majorEastAsia" w:cstheme="majorBidi"/>
      <w:b/>
      <w:bCs/>
      <w:kern w:val="2"/>
      <w:sz w:val="28"/>
      <w:szCs w:val="28"/>
    </w:rPr>
  </w:style>
  <w:style w:type="character" w:customStyle="1" w:styleId="226">
    <w:name w:val="标题 5 Char1"/>
    <w:basedOn w:val="39"/>
    <w:semiHidden/>
    <w:qFormat/>
    <w:uiPriority w:val="0"/>
    <w:rPr>
      <w:rFonts w:hint="eastAsia" w:ascii="宋体" w:hAnsi="宋体" w:eastAsia="宋体" w:cs="Times New Roman"/>
      <w:b/>
      <w:bCs/>
      <w:kern w:val="2"/>
      <w:sz w:val="28"/>
      <w:szCs w:val="28"/>
    </w:rPr>
  </w:style>
  <w:style w:type="character" w:customStyle="1" w:styleId="227">
    <w:name w:val="标题 6 Char1"/>
    <w:basedOn w:val="39"/>
    <w:semiHidden/>
    <w:qFormat/>
    <w:uiPriority w:val="0"/>
    <w:rPr>
      <w:rFonts w:hint="default" w:asciiTheme="majorHAnsi" w:hAnsiTheme="majorHAnsi" w:eastAsiaTheme="majorEastAsia" w:cstheme="majorBidi"/>
      <w:b/>
      <w:bCs/>
      <w:kern w:val="2"/>
      <w:sz w:val="24"/>
      <w:szCs w:val="24"/>
    </w:rPr>
  </w:style>
  <w:style w:type="character" w:customStyle="1" w:styleId="228">
    <w:name w:val="标题 7 Char1"/>
    <w:basedOn w:val="39"/>
    <w:semiHidden/>
    <w:qFormat/>
    <w:uiPriority w:val="0"/>
    <w:rPr>
      <w:rFonts w:hint="eastAsia" w:ascii="宋体" w:hAnsi="宋体" w:eastAsia="宋体" w:cs="Times New Roman"/>
      <w:b/>
      <w:bCs/>
      <w:kern w:val="2"/>
      <w:sz w:val="24"/>
      <w:szCs w:val="24"/>
    </w:rPr>
  </w:style>
  <w:style w:type="character" w:customStyle="1" w:styleId="229">
    <w:name w:val="标题 8 Char1"/>
    <w:basedOn w:val="39"/>
    <w:semiHidden/>
    <w:qFormat/>
    <w:uiPriority w:val="0"/>
    <w:rPr>
      <w:rFonts w:hint="default" w:asciiTheme="majorHAnsi" w:hAnsiTheme="majorHAnsi" w:eastAsiaTheme="majorEastAsia" w:cstheme="majorBidi"/>
      <w:kern w:val="2"/>
      <w:sz w:val="24"/>
      <w:szCs w:val="24"/>
    </w:rPr>
  </w:style>
  <w:style w:type="character" w:customStyle="1" w:styleId="230">
    <w:name w:val="标题 9 Char1"/>
    <w:basedOn w:val="39"/>
    <w:semiHidden/>
    <w:qFormat/>
    <w:uiPriority w:val="0"/>
    <w:rPr>
      <w:rFonts w:hint="default" w:asciiTheme="majorHAnsi" w:hAnsiTheme="majorHAnsi" w:eastAsiaTheme="majorEastAsia" w:cstheme="majorBidi"/>
      <w:kern w:val="2"/>
      <w:sz w:val="21"/>
      <w:szCs w:val="21"/>
    </w:rPr>
  </w:style>
  <w:style w:type="character" w:customStyle="1" w:styleId="231">
    <w:name w:val="样式1 Char Char"/>
    <w:link w:val="60"/>
    <w:qFormat/>
    <w:locked/>
    <w:uiPriority w:val="0"/>
    <w:rPr>
      <w:rFonts w:ascii="EU-F1" w:hAnsi="Times New Roman" w:eastAsia="黑体" w:cs="Times New Roman"/>
      <w:szCs w:val="21"/>
    </w:rPr>
  </w:style>
  <w:style w:type="character" w:customStyle="1" w:styleId="232">
    <w:name w:val="一级条标题 Char Char"/>
    <w:link w:val="140"/>
    <w:qFormat/>
    <w:locked/>
    <w:uiPriority w:val="0"/>
    <w:rPr>
      <w:rFonts w:ascii="黑体" w:hAnsi="Times New Roman" w:eastAsia="黑体" w:cs="Times New Roman"/>
      <w:kern w:val="0"/>
      <w:szCs w:val="21"/>
    </w:rPr>
  </w:style>
  <w:style w:type="paragraph" w:customStyle="1" w:styleId="233">
    <w:name w:val="表头A"/>
    <w:basedOn w:val="61"/>
    <w:qFormat/>
    <w:uiPriority w:val="0"/>
    <w:rPr>
      <w:kern w:val="21"/>
      <w:sz w:val="20"/>
    </w:rPr>
  </w:style>
  <w:style w:type="paragraph" w:customStyle="1" w:styleId="234">
    <w:name w:val="二级条标题"/>
    <w:basedOn w:val="140"/>
    <w:next w:val="131"/>
    <w:qFormat/>
    <w:uiPriority w:val="0"/>
    <w:pPr>
      <w:tabs>
        <w:tab w:val="clear" w:pos="0"/>
      </w:tabs>
      <w:spacing w:beforeLines="0" w:afterLines="0"/>
      <w:ind w:left="1260" w:hanging="420"/>
      <w:outlineLvl w:val="3"/>
    </w:pPr>
    <w:rPr>
      <w:rFonts w:hint="eastAsia"/>
    </w:rPr>
  </w:style>
  <w:style w:type="paragraph" w:customStyle="1" w:styleId="235">
    <w:name w:val="章标题"/>
    <w:next w:val="131"/>
    <w:qFormat/>
    <w:uiPriority w:val="0"/>
    <w:pPr>
      <w:spacing w:beforeLines="100"/>
      <w:ind w:left="420" w:hanging="420"/>
      <w:jc w:val="both"/>
      <w:outlineLvl w:val="1"/>
    </w:pPr>
    <w:rPr>
      <w:rFonts w:ascii="黑体" w:hAnsi="Times New Roman" w:eastAsia="黑体" w:cs="Times New Roman"/>
      <w:kern w:val="0"/>
      <w:sz w:val="21"/>
      <w:szCs w:val="20"/>
      <w:lang w:val="en-US" w:eastAsia="zh-CN" w:bidi="ar-SA"/>
    </w:rPr>
  </w:style>
  <w:style w:type="paragraph" w:customStyle="1" w:styleId="236">
    <w:name w:val="三级条标题"/>
    <w:basedOn w:val="234"/>
    <w:next w:val="131"/>
    <w:qFormat/>
    <w:uiPriority w:val="0"/>
    <w:pPr>
      <w:ind w:left="1680"/>
      <w:outlineLvl w:val="4"/>
    </w:pPr>
  </w:style>
  <w:style w:type="paragraph" w:customStyle="1" w:styleId="237">
    <w:name w:val="List Paragraph"/>
    <w:basedOn w:val="1"/>
    <w:qFormat/>
    <w:uiPriority w:val="34"/>
    <w:pPr>
      <w:ind w:firstLine="420" w:firstLineChars="200"/>
    </w:pPr>
  </w:style>
  <w:style w:type="paragraph" w:customStyle="1" w:styleId="238">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C72F7-3706-40C4-962D-2C496F74356C}">
  <ds:schemaRefs/>
</ds:datastoreItem>
</file>

<file path=docProps/app.xml><?xml version="1.0" encoding="utf-8"?>
<Properties xmlns="http://schemas.openxmlformats.org/officeDocument/2006/extended-properties" xmlns:vt="http://schemas.openxmlformats.org/officeDocument/2006/docPropsVTypes">
  <Template>Normal</Template>
  <Company>jngd</Company>
  <Pages>9</Pages>
  <Words>5283</Words>
  <Characters>6118</Characters>
  <Lines>58</Lines>
  <Paragraphs>16</Paragraphs>
  <TotalTime>14</TotalTime>
  <ScaleCrop>false</ScaleCrop>
  <LinksUpToDate>false</LinksUpToDate>
  <CharactersWithSpaces>6381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2015-03-04T08:57:00Z</dcterms:created>
  <dc:creator>wuzx</dc:creator>
  <cp:lastModifiedBy>Jimmy</cp:lastModifiedBy>
  <cp:lastPrinted>2016-03-16T00:55:00Z</cp:lastPrinted>
  <dcterms:modified xsi:type="dcterms:W3CDTF">2025-03-21T00:36:54Z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CB2DAD31522B4F93B0EBD6B631125868</vt:lpwstr>
  </property>
  <property fmtid="{D5CDD505-2E9C-101B-9397-08002B2CF9AE}" pid="4" name="KSOTemplateDocerSaveRecord">
    <vt:lpwstr>eyJoZGlkIjoiMzEwNTM5NzYwMDRjMzkwZTVkZjY2ODkwMGIxNGU0OTUiLCJ1c2VySWQiOiIyMjkxODkxMDUifQ==</vt:lpwstr>
  </property>
</Properties>
</file>