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5C3930D7">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w:t>
      </w:r>
      <w:r>
        <w:rPr>
          <w:rFonts w:hint="eastAsia" w:ascii="宋体"/>
          <w:b/>
          <w:color w:val="auto"/>
          <w:sz w:val="48"/>
          <w:szCs w:val="48"/>
          <w:highlight w:val="none"/>
          <w:shd w:val="clear" w:color="auto" w:fill="auto"/>
          <w:lang w:val="en-US" w:eastAsia="zh-CN"/>
        </w:rPr>
        <w:t>一体化电源系统</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78961DEB">
      <w:pPr>
        <w:spacing w:line="360" w:lineRule="auto"/>
        <w:jc w:val="center"/>
        <w:rPr>
          <w:rFonts w:ascii="宋体"/>
          <w:b/>
          <w:color w:val="auto"/>
          <w:sz w:val="48"/>
          <w:szCs w:val="48"/>
          <w:highlight w:val="none"/>
          <w:shd w:val="clear" w:color="auto" w:fill="auto"/>
        </w:rPr>
      </w:pPr>
    </w:p>
    <w:p w14:paraId="554ABD9A">
      <w:pPr>
        <w:jc w:val="center"/>
        <w:rPr>
          <w:rFonts w:ascii="宋体" w:hAnsi="宋体"/>
          <w:b/>
          <w:color w:val="auto"/>
          <w:sz w:val="48"/>
          <w:szCs w:val="48"/>
          <w:highlight w:val="none"/>
          <w:shd w:val="clear" w:color="auto" w:fill="auto"/>
        </w:rPr>
      </w:pPr>
    </w:p>
    <w:p w14:paraId="532FBB4F">
      <w:pPr>
        <w:jc w:val="center"/>
        <w:rPr>
          <w:rFonts w:ascii="宋体" w:hAnsi="宋体" w:cs="宋体"/>
          <w:color w:val="auto"/>
          <w:sz w:val="22"/>
          <w:szCs w:val="22"/>
          <w:highlight w:val="none"/>
          <w:shd w:val="clear" w:color="auto" w:fill="auto"/>
        </w:rPr>
      </w:pPr>
    </w:p>
    <w:p w14:paraId="7E9A26B5">
      <w:pPr>
        <w:spacing w:line="360" w:lineRule="auto"/>
        <w:jc w:val="center"/>
        <w:rPr>
          <w:rFonts w:ascii="方正小标宋简体" w:eastAsia="方正小标宋简体"/>
          <w:color w:val="auto"/>
          <w:sz w:val="72"/>
          <w:szCs w:val="72"/>
          <w:highlight w:val="none"/>
          <w:shd w:val="clear" w:color="auto" w:fill="auto"/>
        </w:rPr>
      </w:pPr>
    </w:p>
    <w:p w14:paraId="6B30AFD6">
      <w:pPr>
        <w:spacing w:line="360" w:lineRule="auto"/>
        <w:jc w:val="center"/>
        <w:rPr>
          <w:rFonts w:ascii="方正小标宋简体" w:eastAsia="方正小标宋简体"/>
          <w:color w:val="auto"/>
          <w:sz w:val="72"/>
          <w:szCs w:val="72"/>
          <w:highlight w:val="none"/>
          <w:shd w:val="clear" w:color="auto" w:fill="auto"/>
        </w:rPr>
      </w:pPr>
      <w:r>
        <w:rPr>
          <w:rFonts w:hint="eastAsia" w:ascii="方正小标宋简体" w:eastAsia="方正小标宋简体"/>
          <w:color w:val="auto"/>
          <w:sz w:val="72"/>
          <w:szCs w:val="72"/>
          <w:highlight w:val="none"/>
          <w:shd w:val="clear" w:color="auto" w:fill="auto"/>
        </w:rPr>
        <w:t>招标文件</w:t>
      </w:r>
    </w:p>
    <w:p w14:paraId="49E7D642">
      <w:pPr>
        <w:pStyle w:val="56"/>
        <w:spacing w:before="560" w:after="560" w:line="240" w:lineRule="auto"/>
        <w:rPr>
          <w:rFonts w:asciiTheme="minorEastAsia" w:hAnsiTheme="minorEastAsia" w:eastAsiaTheme="minorEastAsia"/>
          <w:b/>
          <w:color w:val="auto"/>
          <w:sz w:val="36"/>
          <w:szCs w:val="36"/>
          <w:highlight w:val="none"/>
          <w:shd w:val="clear" w:color="auto" w:fill="auto"/>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color w:val="auto"/>
          <w:sz w:val="36"/>
          <w:szCs w:val="36"/>
          <w:highlight w:val="none"/>
          <w:shd w:val="clear" w:color="auto" w:fill="auto"/>
        </w:rPr>
        <w:t>20</w:t>
      </w:r>
      <w:r>
        <w:rPr>
          <w:rFonts w:hint="eastAsia" w:asciiTheme="minorEastAsia" w:hAnsiTheme="minorEastAsia" w:eastAsiaTheme="minorEastAsia"/>
          <w:b/>
          <w:color w:val="auto"/>
          <w:sz w:val="36"/>
          <w:szCs w:val="36"/>
          <w:highlight w:val="none"/>
          <w:shd w:val="clear" w:color="auto" w:fill="auto"/>
          <w:lang w:val="en-US" w:eastAsia="zh-CN"/>
        </w:rPr>
        <w:t>25</w:t>
      </w:r>
      <w:r>
        <w:rPr>
          <w:rFonts w:hint="eastAsia" w:asciiTheme="minorEastAsia" w:hAnsiTheme="minorEastAsia" w:eastAsiaTheme="minorEastAsia"/>
          <w:b/>
          <w:color w:val="auto"/>
          <w:sz w:val="36"/>
          <w:szCs w:val="36"/>
          <w:highlight w:val="none"/>
          <w:shd w:val="clear" w:color="auto" w:fill="auto"/>
        </w:rPr>
        <w:t>年0</w:t>
      </w:r>
      <w:r>
        <w:rPr>
          <w:rFonts w:hint="eastAsia" w:asciiTheme="minorEastAsia" w:hAnsiTheme="minorEastAsia" w:eastAsiaTheme="minorEastAsia"/>
          <w:b/>
          <w:color w:val="auto"/>
          <w:sz w:val="36"/>
          <w:szCs w:val="36"/>
          <w:highlight w:val="none"/>
          <w:shd w:val="clear" w:color="auto" w:fill="auto"/>
          <w:lang w:val="en-US" w:eastAsia="zh-CN"/>
        </w:rPr>
        <w:t>3</w:t>
      </w:r>
      <w:r>
        <w:rPr>
          <w:rFonts w:hint="eastAsia" w:asciiTheme="minorEastAsia" w:hAnsiTheme="minorEastAsia" w:eastAsiaTheme="minorEastAsia"/>
          <w:b/>
          <w:color w:val="auto"/>
          <w:sz w:val="36"/>
          <w:szCs w:val="36"/>
          <w:highlight w:val="none"/>
          <w:shd w:val="clear" w:color="auto" w:fill="auto"/>
        </w:rPr>
        <w:t>月</w:t>
      </w:r>
    </w:p>
    <w:p w14:paraId="1F516B55">
      <w:pPr>
        <w:pStyle w:val="223"/>
        <w:jc w:val="center"/>
        <w:rPr>
          <w:rFonts w:asciiTheme="minorEastAsia" w:hAnsiTheme="minorEastAsia" w:eastAsiaTheme="minorEastAsia"/>
          <w:b w:val="0"/>
          <w:color w:val="auto"/>
          <w:sz w:val="36"/>
          <w:szCs w:val="36"/>
          <w:highlight w:val="none"/>
          <w:shd w:val="clear" w:color="auto" w:fill="auto"/>
        </w:rPr>
      </w:pPr>
      <w:r>
        <w:rPr>
          <w:rFonts w:hint="eastAsia" w:asciiTheme="minorEastAsia" w:hAnsiTheme="minorEastAsia" w:eastAsiaTheme="minorEastAsia"/>
          <w:b w:val="0"/>
          <w:color w:val="auto"/>
          <w:sz w:val="36"/>
          <w:szCs w:val="36"/>
          <w:highlight w:val="none"/>
          <w:shd w:val="clear" w:color="auto" w:fill="auto"/>
        </w:rPr>
        <w:t>目  录</w:t>
      </w:r>
    </w:p>
    <w:sdt>
      <w:sdtPr>
        <w:rPr>
          <w:color w:val="auto"/>
          <w:highlight w:val="none"/>
          <w:shd w:val="clear" w:color="auto" w:fill="auto"/>
          <w:lang w:val="zh-CN"/>
        </w:rPr>
        <w:id w:val="26966365"/>
      </w:sdtPr>
      <w:sdtEndPr>
        <w:rPr>
          <w:color w:val="auto"/>
          <w:highlight w:val="none"/>
          <w:shd w:val="clear" w:color="auto" w:fill="auto"/>
          <w:lang w:val="zh-CN"/>
        </w:rPr>
      </w:sdtEndPr>
      <w:sdtContent>
        <w:p w14:paraId="23AD9B33">
          <w:pPr>
            <w:widowControl/>
            <w:jc w:val="center"/>
            <w:rPr>
              <w:color w:val="auto"/>
              <w:highlight w:val="none"/>
              <w:shd w:val="clear" w:color="auto" w:fill="auto"/>
            </w:rPr>
          </w:pPr>
        </w:p>
        <w:p w14:paraId="1CA73834">
          <w:pPr>
            <w:pStyle w:val="28"/>
            <w:tabs>
              <w:tab w:val="right" w:leader="dot" w:pos="8296"/>
            </w:tabs>
            <w:ind w:firstLine="420"/>
            <w:rPr>
              <w:rFonts w:asciiTheme="minorHAnsi" w:hAnsiTheme="minorHAnsi" w:eastAsiaTheme="minorEastAsia" w:cstheme="minorBidi"/>
              <w:b w:val="0"/>
              <w:bCs w:val="0"/>
              <w:caps w:val="0"/>
              <w:color w:val="auto"/>
              <w:sz w:val="21"/>
              <w:szCs w:val="22"/>
              <w:highlight w:val="none"/>
              <w:shd w:val="clear" w:color="auto" w:fill="auto"/>
            </w:rPr>
          </w:pPr>
          <w:r>
            <w:rPr>
              <w:b w:val="0"/>
              <w:color w:val="auto"/>
              <w:sz w:val="21"/>
              <w:szCs w:val="21"/>
              <w:highlight w:val="none"/>
              <w:shd w:val="clear" w:color="auto" w:fill="auto"/>
            </w:rPr>
            <w:fldChar w:fldCharType="begin"/>
          </w:r>
          <w:r>
            <w:rPr>
              <w:b w:val="0"/>
              <w:color w:val="auto"/>
              <w:sz w:val="21"/>
              <w:szCs w:val="21"/>
              <w:highlight w:val="none"/>
              <w:shd w:val="clear" w:color="auto" w:fill="auto"/>
            </w:rPr>
            <w:instrText xml:space="preserve"> TOC \o "1-3" \h \z \u </w:instrText>
          </w:r>
          <w:r>
            <w:rPr>
              <w:b w:val="0"/>
              <w:color w:val="auto"/>
              <w:sz w:val="21"/>
              <w:szCs w:val="21"/>
              <w:highlight w:val="none"/>
              <w:shd w:val="clear" w:color="auto" w:fill="auto"/>
            </w:rPr>
            <w:fldChar w:fldCharType="separate"/>
          </w:r>
          <w:r>
            <w:rPr>
              <w:color w:val="auto"/>
              <w:highlight w:val="none"/>
              <w:shd w:val="clear" w:color="auto" w:fill="auto"/>
            </w:rPr>
            <w:fldChar w:fldCharType="begin"/>
          </w:r>
          <w:r>
            <w:rPr>
              <w:color w:val="auto"/>
              <w:highlight w:val="none"/>
              <w:shd w:val="clear" w:color="auto" w:fill="auto"/>
            </w:rPr>
            <w:instrText xml:space="preserve"> HYPERLINK \l "_Toc438720041" </w:instrText>
          </w:r>
          <w:r>
            <w:rPr>
              <w:color w:val="auto"/>
              <w:highlight w:val="none"/>
              <w:shd w:val="clear" w:color="auto" w:fill="auto"/>
            </w:rPr>
            <w:fldChar w:fldCharType="separate"/>
          </w:r>
          <w:r>
            <w:rPr>
              <w:rStyle w:val="44"/>
              <w:color w:val="auto"/>
              <w:highlight w:val="none"/>
              <w:shd w:val="clear" w:color="auto" w:fill="auto"/>
            </w:rPr>
            <w:t>1</w:t>
          </w:r>
          <w:r>
            <w:rPr>
              <w:rStyle w:val="44"/>
              <w:rFonts w:hint="eastAsia"/>
              <w:color w:val="auto"/>
              <w:highlight w:val="none"/>
              <w:shd w:val="clear" w:color="auto" w:fill="auto"/>
            </w:rPr>
            <w:t>　范围</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_Toc438720041 \h </w:instrText>
          </w:r>
          <w:r>
            <w:rPr>
              <w:color w:val="auto"/>
              <w:highlight w:val="none"/>
              <w:shd w:val="clear" w:color="auto" w:fill="auto"/>
            </w:rPr>
            <w:fldChar w:fldCharType="separate"/>
          </w:r>
          <w:r>
            <w:rPr>
              <w:color w:val="auto"/>
              <w:highlight w:val="none"/>
              <w:shd w:val="clear" w:color="auto" w:fill="auto"/>
            </w:rPr>
            <w:t>3</w:t>
          </w:r>
          <w:r>
            <w:rPr>
              <w:color w:val="auto"/>
              <w:highlight w:val="none"/>
              <w:shd w:val="clear" w:color="auto" w:fill="auto"/>
            </w:rPr>
            <w:fldChar w:fldCharType="end"/>
          </w:r>
          <w:r>
            <w:rPr>
              <w:color w:val="auto"/>
              <w:highlight w:val="none"/>
              <w:shd w:val="clear" w:color="auto" w:fill="auto"/>
            </w:rPr>
            <w:fldChar w:fldCharType="end"/>
          </w:r>
        </w:p>
        <w:p w14:paraId="022FF505">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"_Toc438720042" </w:instrText>
          </w:r>
          <w:r>
            <w:rPr>
              <w:color w:val="auto"/>
              <w:highlight w:val="none"/>
              <w:shd w:val="clear" w:color="auto" w:fill="auto"/>
            </w:rPr>
            <w:fldChar w:fldCharType="separate"/>
          </w:r>
          <w:r>
            <w:rPr>
              <w:rStyle w:val="44"/>
              <w:color w:val="auto"/>
              <w:highlight w:val="none"/>
              <w:shd w:val="clear" w:color="auto" w:fill="auto"/>
            </w:rPr>
            <w:t>2</w:t>
          </w:r>
          <w:r>
            <w:rPr>
              <w:rStyle w:val="44"/>
              <w:rFonts w:hint="eastAsia"/>
              <w:color w:val="auto"/>
              <w:highlight w:val="none"/>
              <w:shd w:val="clear" w:color="auto" w:fill="auto"/>
            </w:rPr>
            <w:t>　规范性引用文件</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_Toc438720042 \h </w:instrText>
          </w:r>
          <w:r>
            <w:rPr>
              <w:color w:val="auto"/>
              <w:highlight w:val="none"/>
              <w:shd w:val="clear" w:color="auto" w:fill="auto"/>
            </w:rPr>
            <w:fldChar w:fldCharType="separate"/>
          </w:r>
          <w:r>
            <w:rPr>
              <w:color w:val="auto"/>
              <w:highlight w:val="none"/>
              <w:shd w:val="clear" w:color="auto" w:fill="auto"/>
            </w:rPr>
            <w:t>3</w:t>
          </w:r>
          <w:r>
            <w:rPr>
              <w:color w:val="auto"/>
              <w:highlight w:val="none"/>
              <w:shd w:val="clear" w:color="auto" w:fill="auto"/>
            </w:rPr>
            <w:fldChar w:fldCharType="end"/>
          </w:r>
          <w:r>
            <w:rPr>
              <w:color w:val="auto"/>
              <w:highlight w:val="none"/>
              <w:shd w:val="clear" w:color="auto" w:fill="auto"/>
            </w:rPr>
            <w:fldChar w:fldCharType="end"/>
          </w:r>
        </w:p>
        <w:p w14:paraId="1B198536">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"_Toc438720043" </w:instrText>
          </w:r>
          <w:r>
            <w:rPr>
              <w:color w:val="auto"/>
              <w:highlight w:val="none"/>
              <w:shd w:val="clear" w:color="auto" w:fill="auto"/>
            </w:rPr>
            <w:fldChar w:fldCharType="separate"/>
          </w:r>
          <w:r>
            <w:rPr>
              <w:rStyle w:val="44"/>
              <w:color w:val="auto"/>
              <w:highlight w:val="none"/>
              <w:shd w:val="clear" w:color="auto" w:fill="auto"/>
            </w:rPr>
            <w:t>3</w:t>
          </w:r>
          <w:r>
            <w:rPr>
              <w:rStyle w:val="44"/>
              <w:rFonts w:hint="eastAsia"/>
              <w:color w:val="auto"/>
              <w:highlight w:val="none"/>
              <w:shd w:val="clear" w:color="auto" w:fill="auto"/>
            </w:rPr>
            <w:t>　术语和定义</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_Toc438720043 \h </w:instrText>
          </w:r>
          <w:r>
            <w:rPr>
              <w:color w:val="auto"/>
              <w:highlight w:val="none"/>
              <w:shd w:val="clear" w:color="auto" w:fill="auto"/>
            </w:rPr>
            <w:fldChar w:fldCharType="separate"/>
          </w:r>
          <w:r>
            <w:rPr>
              <w:color w:val="auto"/>
              <w:highlight w:val="none"/>
              <w:shd w:val="clear" w:color="auto" w:fill="auto"/>
            </w:rPr>
            <w:t>3</w:t>
          </w:r>
          <w:r>
            <w:rPr>
              <w:color w:val="auto"/>
              <w:highlight w:val="none"/>
              <w:shd w:val="clear" w:color="auto" w:fill="auto"/>
            </w:rPr>
            <w:fldChar w:fldCharType="end"/>
          </w:r>
          <w:r>
            <w:rPr>
              <w:color w:val="auto"/>
              <w:highlight w:val="none"/>
              <w:shd w:val="clear" w:color="auto" w:fill="auto"/>
            </w:rPr>
            <w:fldChar w:fldCharType="end"/>
          </w:r>
        </w:p>
        <w:p w14:paraId="21DE2948">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"_Toc438720044" </w:instrText>
          </w:r>
          <w:r>
            <w:rPr>
              <w:color w:val="auto"/>
              <w:highlight w:val="none"/>
              <w:shd w:val="clear" w:color="auto" w:fill="auto"/>
            </w:rPr>
            <w:fldChar w:fldCharType="separate"/>
          </w:r>
          <w:r>
            <w:rPr>
              <w:rStyle w:val="44"/>
              <w:color w:val="auto"/>
              <w:highlight w:val="none"/>
              <w:shd w:val="clear" w:color="auto" w:fill="auto"/>
            </w:rPr>
            <w:t>4</w:t>
          </w:r>
          <w:r>
            <w:rPr>
              <w:rStyle w:val="44"/>
              <w:rFonts w:hint="eastAsia"/>
              <w:color w:val="auto"/>
              <w:highlight w:val="none"/>
              <w:shd w:val="clear" w:color="auto" w:fill="auto"/>
            </w:rPr>
            <w:t>　总则</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_Toc438720044 \h </w:instrText>
          </w:r>
          <w:r>
            <w:rPr>
              <w:color w:val="auto"/>
              <w:highlight w:val="none"/>
              <w:shd w:val="clear" w:color="auto" w:fill="auto"/>
            </w:rPr>
            <w:fldChar w:fldCharType="separate"/>
          </w:r>
          <w:r>
            <w:rPr>
              <w:color w:val="auto"/>
              <w:highlight w:val="none"/>
              <w:shd w:val="clear" w:color="auto" w:fill="auto"/>
            </w:rPr>
            <w:t>3</w:t>
          </w:r>
          <w:r>
            <w:rPr>
              <w:color w:val="auto"/>
              <w:highlight w:val="none"/>
              <w:shd w:val="clear" w:color="auto" w:fill="auto"/>
            </w:rPr>
            <w:fldChar w:fldCharType="end"/>
          </w:r>
          <w:r>
            <w:rPr>
              <w:color w:val="auto"/>
              <w:highlight w:val="none"/>
              <w:shd w:val="clear" w:color="auto" w:fill="auto"/>
            </w:rPr>
            <w:fldChar w:fldCharType="end"/>
          </w:r>
        </w:p>
        <w:p w14:paraId="7F9BCFC8">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"_Toc438720045" </w:instrText>
          </w:r>
          <w:r>
            <w:rPr>
              <w:color w:val="auto"/>
              <w:highlight w:val="none"/>
              <w:shd w:val="clear" w:color="auto" w:fill="auto"/>
            </w:rPr>
            <w:fldChar w:fldCharType="separate"/>
          </w:r>
          <w:r>
            <w:rPr>
              <w:rStyle w:val="44"/>
              <w:color w:val="auto"/>
              <w:highlight w:val="none"/>
              <w:shd w:val="clear" w:color="auto" w:fill="auto"/>
            </w:rPr>
            <w:t>5</w:t>
          </w:r>
          <w:r>
            <w:rPr>
              <w:rStyle w:val="44"/>
              <w:rFonts w:hint="eastAsia"/>
              <w:color w:val="auto"/>
              <w:highlight w:val="none"/>
              <w:shd w:val="clear" w:color="auto" w:fill="auto"/>
            </w:rPr>
            <w:t>　技术参数和性能要求</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_Toc438720045 \h </w:instrText>
          </w:r>
          <w:r>
            <w:rPr>
              <w:color w:val="auto"/>
              <w:highlight w:val="none"/>
              <w:shd w:val="clear" w:color="auto" w:fill="auto"/>
            </w:rPr>
            <w:fldChar w:fldCharType="separate"/>
          </w:r>
          <w:r>
            <w:rPr>
              <w:color w:val="auto"/>
              <w:highlight w:val="none"/>
              <w:shd w:val="clear" w:color="auto" w:fill="auto"/>
            </w:rPr>
            <w:t>5</w:t>
          </w:r>
          <w:r>
            <w:rPr>
              <w:color w:val="auto"/>
              <w:highlight w:val="none"/>
              <w:shd w:val="clear" w:color="auto" w:fill="auto"/>
            </w:rPr>
            <w:fldChar w:fldCharType="end"/>
          </w:r>
          <w:r>
            <w:rPr>
              <w:color w:val="auto"/>
              <w:highlight w:val="none"/>
              <w:shd w:val="clear" w:color="auto" w:fill="auto"/>
            </w:rPr>
            <w:fldChar w:fldCharType="end"/>
          </w:r>
        </w:p>
        <w:p w14:paraId="5ABEB9E4">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"_Toc438720046" </w:instrText>
          </w:r>
          <w:r>
            <w:rPr>
              <w:color w:val="auto"/>
              <w:highlight w:val="none"/>
              <w:shd w:val="clear" w:color="auto" w:fill="auto"/>
            </w:rPr>
            <w:fldChar w:fldCharType="separate"/>
          </w:r>
          <w:r>
            <w:rPr>
              <w:rStyle w:val="44"/>
              <w:color w:val="auto"/>
              <w:highlight w:val="none"/>
              <w:shd w:val="clear" w:color="auto" w:fill="auto"/>
            </w:rPr>
            <w:t>6</w:t>
          </w:r>
          <w:r>
            <w:rPr>
              <w:rStyle w:val="44"/>
              <w:rFonts w:hint="eastAsia"/>
              <w:color w:val="auto"/>
              <w:highlight w:val="none"/>
              <w:shd w:val="clear" w:color="auto" w:fill="auto"/>
            </w:rPr>
            <w:t>　试验</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_Toc438720046 \h </w:instrText>
          </w:r>
          <w:r>
            <w:rPr>
              <w:color w:val="auto"/>
              <w:highlight w:val="none"/>
              <w:shd w:val="clear" w:color="auto" w:fill="auto"/>
            </w:rPr>
            <w:fldChar w:fldCharType="separate"/>
          </w:r>
          <w:r>
            <w:rPr>
              <w:color w:val="auto"/>
              <w:highlight w:val="none"/>
              <w:shd w:val="clear" w:color="auto" w:fill="auto"/>
            </w:rPr>
            <w:t>6</w:t>
          </w:r>
          <w:r>
            <w:rPr>
              <w:color w:val="auto"/>
              <w:highlight w:val="none"/>
              <w:shd w:val="clear" w:color="auto" w:fill="auto"/>
            </w:rPr>
            <w:fldChar w:fldCharType="end"/>
          </w:r>
          <w:r>
            <w:rPr>
              <w:color w:val="auto"/>
              <w:highlight w:val="none"/>
              <w:shd w:val="clear" w:color="auto" w:fill="auto"/>
            </w:rPr>
            <w:fldChar w:fldCharType="end"/>
          </w:r>
        </w:p>
        <w:p w14:paraId="4AF75BD1">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"_Toc438720047" </w:instrText>
          </w:r>
          <w:r>
            <w:rPr>
              <w:color w:val="auto"/>
              <w:highlight w:val="none"/>
              <w:shd w:val="clear" w:color="auto" w:fill="auto"/>
            </w:rPr>
            <w:fldChar w:fldCharType="separate"/>
          </w:r>
          <w:r>
            <w:rPr>
              <w:rStyle w:val="44"/>
              <w:color w:val="auto"/>
              <w:highlight w:val="none"/>
              <w:shd w:val="clear" w:color="auto" w:fill="auto"/>
            </w:rPr>
            <w:t>7</w:t>
          </w:r>
          <w:r>
            <w:rPr>
              <w:rStyle w:val="44"/>
              <w:rFonts w:hint="eastAsia"/>
              <w:color w:val="auto"/>
              <w:highlight w:val="none"/>
              <w:shd w:val="clear" w:color="auto" w:fill="auto"/>
            </w:rPr>
            <w:t>　技术服务、工厂检验</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_Toc438720047 \h </w:instrText>
          </w:r>
          <w:r>
            <w:rPr>
              <w:color w:val="auto"/>
              <w:highlight w:val="none"/>
              <w:shd w:val="clear" w:color="auto" w:fill="auto"/>
            </w:rPr>
            <w:fldChar w:fldCharType="separate"/>
          </w:r>
          <w:r>
            <w:rPr>
              <w:color w:val="auto"/>
              <w:highlight w:val="none"/>
              <w:shd w:val="clear" w:color="auto" w:fill="auto"/>
            </w:rPr>
            <w:t>7</w:t>
          </w:r>
          <w:r>
            <w:rPr>
              <w:color w:val="auto"/>
              <w:highlight w:val="none"/>
              <w:shd w:val="clear" w:color="auto" w:fill="auto"/>
            </w:rPr>
            <w:fldChar w:fldCharType="end"/>
          </w:r>
          <w:r>
            <w:rPr>
              <w:color w:val="auto"/>
              <w:highlight w:val="none"/>
              <w:shd w:val="clear" w:color="auto" w:fill="auto"/>
            </w:rPr>
            <w:fldChar w:fldCharType="end"/>
          </w:r>
        </w:p>
        <w:p w14:paraId="34A99FEC">
          <w:pPr>
            <w:pStyle w:val="28"/>
            <w:tabs>
              <w:tab w:val="right" w:leader="dot" w:pos="8296"/>
            </w:tabs>
            <w:ind w:firstLine="402"/>
            <w:rPr>
              <w:rFonts w:asciiTheme="minorHAnsi" w:hAnsiTheme="minorHAnsi" w:eastAsiaTheme="minorEastAsia" w:cstheme="minorBidi"/>
              <w:b w:val="0"/>
              <w:bCs w:val="0"/>
              <w:caps w:val="0"/>
              <w:color w:val="auto"/>
              <w:sz w:val="21"/>
              <w:szCs w:val="22"/>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"_Toc438720048" </w:instrText>
          </w:r>
          <w:r>
            <w:rPr>
              <w:color w:val="auto"/>
              <w:highlight w:val="none"/>
              <w:shd w:val="clear" w:color="auto" w:fill="auto"/>
            </w:rPr>
            <w:fldChar w:fldCharType="separate"/>
          </w:r>
          <w:r>
            <w:rPr>
              <w:rStyle w:val="44"/>
              <w:color w:val="auto"/>
              <w:highlight w:val="none"/>
              <w:shd w:val="clear" w:color="auto" w:fill="auto"/>
            </w:rPr>
            <w:t>8</w:t>
          </w:r>
          <w:r>
            <w:rPr>
              <w:rStyle w:val="44"/>
              <w:rFonts w:hint="eastAsia"/>
              <w:color w:val="auto"/>
              <w:highlight w:val="none"/>
              <w:shd w:val="clear" w:color="auto" w:fill="auto"/>
            </w:rPr>
            <w:t>　报价表</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_Toc438720048 \h </w:instrText>
          </w:r>
          <w:r>
            <w:rPr>
              <w:color w:val="auto"/>
              <w:highlight w:val="none"/>
              <w:shd w:val="clear" w:color="auto" w:fill="auto"/>
            </w:rPr>
            <w:fldChar w:fldCharType="separate"/>
          </w:r>
          <w:r>
            <w:rPr>
              <w:color w:val="auto"/>
              <w:highlight w:val="none"/>
              <w:shd w:val="clear" w:color="auto" w:fill="auto"/>
            </w:rPr>
            <w:t>8</w:t>
          </w:r>
          <w:r>
            <w:rPr>
              <w:color w:val="auto"/>
              <w:highlight w:val="none"/>
              <w:shd w:val="clear" w:color="auto" w:fill="auto"/>
            </w:rPr>
            <w:fldChar w:fldCharType="end"/>
          </w:r>
          <w:r>
            <w:rPr>
              <w:color w:val="auto"/>
              <w:highlight w:val="none"/>
              <w:shd w:val="clear" w:color="auto" w:fill="auto"/>
            </w:rPr>
            <w:fldChar w:fldCharType="end"/>
          </w:r>
        </w:p>
        <w:p w14:paraId="00EB5BAB">
          <w:pPr>
            <w:adjustRightInd w:val="0"/>
            <w:snapToGrid w:val="0"/>
            <w:rPr>
              <w:color w:val="auto"/>
              <w:highlight w:val="none"/>
              <w:shd w:val="clear" w:color="auto" w:fill="auto"/>
            </w:rPr>
          </w:pPr>
          <w:r>
            <w:rPr>
              <w:color w:val="auto"/>
              <w:szCs w:val="21"/>
              <w:highlight w:val="none"/>
              <w:shd w:val="clear" w:color="auto" w:fill="auto"/>
            </w:rPr>
            <w:fldChar w:fldCharType="end"/>
          </w:r>
        </w:p>
      </w:sdtContent>
    </w:sdt>
    <w:p w14:paraId="739BFA87">
      <w:pPr>
        <w:widowControl/>
        <w:jc w:val="center"/>
        <w:rPr>
          <w:rFonts w:asciiTheme="minorEastAsia" w:hAnsiTheme="minorEastAsia" w:eastAsiaTheme="minorEastAsia"/>
          <w:b/>
          <w:color w:val="auto"/>
          <w:sz w:val="36"/>
          <w:szCs w:val="36"/>
          <w:highlight w:val="none"/>
          <w:shd w:val="clear" w:color="auto" w:fill="auto"/>
        </w:rPr>
      </w:pPr>
    </w:p>
    <w:p w14:paraId="24FE09C1">
      <w:pPr>
        <w:widowControl/>
        <w:jc w:val="left"/>
        <w:rPr>
          <w:rFonts w:eastAsia="黑体"/>
          <w:color w:val="auto"/>
          <w:kern w:val="0"/>
          <w:sz w:val="32"/>
          <w:szCs w:val="20"/>
          <w:highlight w:val="none"/>
          <w:shd w:val="clear" w:color="auto" w:fill="auto"/>
        </w:rPr>
        <w:sectPr>
          <w:pgSz w:w="11906" w:h="16838"/>
          <w:pgMar w:top="1440" w:right="1800" w:bottom="1440" w:left="1800" w:header="851" w:footer="992" w:gutter="0"/>
          <w:cols w:space="720" w:num="1"/>
          <w:docGrid w:type="lines" w:linePitch="312" w:charSpace="0"/>
        </w:sectPr>
      </w:pPr>
    </w:p>
    <w:p w14:paraId="44036CF6">
      <w:pPr>
        <w:pStyle w:val="61"/>
        <w:outlineLvl w:val="0"/>
        <w:rPr>
          <w:color w:val="auto"/>
          <w:highlight w:val="none"/>
          <w:shd w:val="clear" w:color="auto" w:fill="auto"/>
        </w:rPr>
      </w:pPr>
      <w:bookmarkStart w:id="0" w:name="_Toc396866892"/>
      <w:bookmarkStart w:id="1" w:name="_Toc438720041"/>
      <w:bookmarkStart w:id="2" w:name="_Toc355884468"/>
      <w:bookmarkStart w:id="3" w:name="_Toc344384427"/>
      <w:r>
        <w:rPr>
          <w:rFonts w:hint="eastAsia"/>
          <w:color w:val="auto"/>
          <w:highlight w:val="none"/>
          <w:shd w:val="clear" w:color="auto" w:fill="auto"/>
        </w:rPr>
        <w:t>1　范围</w:t>
      </w:r>
      <w:bookmarkEnd w:id="0"/>
      <w:bookmarkEnd w:id="1"/>
      <w:bookmarkEnd w:id="2"/>
      <w:bookmarkEnd w:id="3"/>
    </w:p>
    <w:p w14:paraId="7C866E12">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本部分规定了</w:t>
      </w:r>
      <w:r>
        <w:rPr>
          <w:rFonts w:hint="eastAsia"/>
          <w:snapToGrid w:val="0"/>
          <w:color w:val="auto"/>
          <w:szCs w:val="21"/>
          <w:highlight w:val="none"/>
          <w:shd w:val="clear" w:color="auto" w:fill="auto"/>
          <w:lang w:val="en-US" w:eastAsia="zh-CN"/>
        </w:rPr>
        <w:t>一体化电源系统</w:t>
      </w:r>
      <w:r>
        <w:rPr>
          <w:rFonts w:hint="eastAsia"/>
          <w:snapToGrid w:val="0"/>
          <w:color w:val="auto"/>
          <w:szCs w:val="21"/>
          <w:highlight w:val="none"/>
          <w:shd w:val="clear" w:color="auto" w:fill="auto"/>
        </w:rPr>
        <w:t>招标的总则、技术参数和性能要求、试验、包装、运输、交货及工厂检验和监造的一般要求。</w:t>
      </w:r>
    </w:p>
    <w:p w14:paraId="4BDEFAEF">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本部分适用</w:t>
      </w:r>
      <w:r>
        <w:rPr>
          <w:rFonts w:hint="eastAsia"/>
          <w:snapToGrid w:val="0"/>
          <w:color w:val="auto"/>
          <w:szCs w:val="21"/>
          <w:highlight w:val="none"/>
          <w:shd w:val="clear" w:color="auto" w:fill="auto"/>
          <w:lang w:val="en-US" w:eastAsia="zh-CN"/>
        </w:rPr>
        <w:t>一体化电源系统</w:t>
      </w:r>
      <w:r>
        <w:rPr>
          <w:rFonts w:hint="eastAsia"/>
          <w:snapToGrid w:val="0"/>
          <w:color w:val="auto"/>
          <w:szCs w:val="21"/>
          <w:highlight w:val="none"/>
          <w:shd w:val="clear" w:color="auto" w:fill="auto"/>
          <w:lang w:eastAsia="zh-CN"/>
        </w:rPr>
        <w:t>的</w:t>
      </w:r>
      <w:r>
        <w:rPr>
          <w:rFonts w:hint="eastAsia"/>
          <w:snapToGrid w:val="0"/>
          <w:color w:val="auto"/>
          <w:szCs w:val="21"/>
          <w:highlight w:val="none"/>
          <w:shd w:val="clear" w:color="auto" w:fill="auto"/>
        </w:rPr>
        <w:t>招标。</w:t>
      </w:r>
    </w:p>
    <w:p w14:paraId="7D33F453">
      <w:pPr>
        <w:pStyle w:val="61"/>
        <w:outlineLvl w:val="0"/>
        <w:rPr>
          <w:color w:val="auto"/>
          <w:highlight w:val="none"/>
          <w:shd w:val="clear" w:color="auto" w:fill="auto"/>
        </w:rPr>
      </w:pPr>
      <w:bookmarkStart w:id="4" w:name="_Toc438720042"/>
      <w:r>
        <w:rPr>
          <w:rFonts w:hint="eastAsia"/>
          <w:color w:val="auto"/>
          <w:highlight w:val="none"/>
          <w:shd w:val="clear" w:color="auto" w:fill="auto"/>
        </w:rPr>
        <w:t>2　规范性引用文件</w:t>
      </w:r>
      <w:bookmarkEnd w:id="4"/>
    </w:p>
    <w:p w14:paraId="27DE18FD">
      <w:pPr>
        <w:topLinePunct/>
        <w:spacing w:line="326" w:lineRule="exact"/>
        <w:ind w:firstLine="420"/>
        <w:rPr>
          <w:rFonts w:hint="default"/>
          <w:snapToGrid w:val="0"/>
          <w:color w:val="auto"/>
          <w:szCs w:val="21"/>
          <w:highlight w:val="none"/>
          <w:shd w:val="clear" w:color="auto" w:fill="auto"/>
        </w:rPr>
      </w:pPr>
      <w:r>
        <w:rPr>
          <w:rFonts w:hint="eastAsia"/>
          <w:snapToGrid w:val="0"/>
          <w:color w:val="auto"/>
          <w:szCs w:val="21"/>
          <w:highlight w:val="none"/>
          <w:shd w:val="clear" w:color="auto" w:fill="auto"/>
        </w:rPr>
        <w:t>下列文件对于本文件的应用是必不可少的。凡是注日期的引用文件，仅注日期的版本适用于本文件。凡是不注日期的引用文件，其最新版本（包括所有的修改单）适用于本文件。</w:t>
      </w:r>
    </w:p>
    <w:tbl>
      <w:tblPr>
        <w:tblStyle w:val="39"/>
        <w:tblW w:w="0" w:type="auto"/>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498"/>
        <w:gridCol w:w="6424"/>
      </w:tblGrid>
      <w:tr w14:paraId="4F0BA6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54DAEE6C">
            <w:pPr>
              <w:ind w:firstLine="420"/>
              <w:rPr>
                <w:color w:val="auto"/>
                <w:highlight w:val="none"/>
                <w:shd w:val="clear" w:color="auto" w:fill="auto"/>
              </w:rPr>
            </w:pPr>
            <w:bookmarkStart w:id="5" w:name="_Toc438720043"/>
            <w:r>
              <w:rPr>
                <w:color w:val="auto"/>
                <w:highlight w:val="none"/>
                <w:shd w:val="clear" w:color="auto" w:fill="auto"/>
              </w:rPr>
              <w:t>标准（文件）号</w:t>
            </w:r>
          </w:p>
        </w:tc>
        <w:tc>
          <w:tcPr>
            <w:tcW w:w="6424" w:type="dxa"/>
            <w:noWrap w:val="0"/>
            <w:tcMar>
              <w:left w:w="0" w:type="dxa"/>
              <w:right w:w="0" w:type="dxa"/>
            </w:tcMar>
            <w:vAlign w:val="center"/>
          </w:tcPr>
          <w:p w14:paraId="4FF553D7">
            <w:pPr>
              <w:ind w:firstLine="420"/>
              <w:rPr>
                <w:color w:val="auto"/>
                <w:highlight w:val="none"/>
                <w:shd w:val="clear" w:color="auto" w:fill="auto"/>
              </w:rPr>
            </w:pPr>
            <w:r>
              <w:rPr>
                <w:color w:val="auto"/>
                <w:highlight w:val="none"/>
                <w:shd w:val="clear" w:color="auto" w:fill="auto"/>
              </w:rPr>
              <w:t>标准（文件）名称</w:t>
            </w:r>
          </w:p>
        </w:tc>
      </w:tr>
      <w:tr w14:paraId="38F6C6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644EA5AA">
            <w:pPr>
              <w:ind w:firstLine="420"/>
              <w:rPr>
                <w:color w:val="auto"/>
                <w:highlight w:val="none"/>
                <w:shd w:val="clear" w:color="auto" w:fill="auto"/>
              </w:rPr>
            </w:pPr>
            <w:r>
              <w:rPr>
                <w:color w:val="auto"/>
                <w:highlight w:val="none"/>
                <w:shd w:val="clear" w:color="auto" w:fill="auto"/>
              </w:rPr>
              <w:t>GB 4208</w:t>
            </w:r>
          </w:p>
        </w:tc>
        <w:tc>
          <w:tcPr>
            <w:tcW w:w="6424" w:type="dxa"/>
            <w:noWrap w:val="0"/>
            <w:tcMar>
              <w:left w:w="0" w:type="dxa"/>
              <w:right w:w="0" w:type="dxa"/>
            </w:tcMar>
            <w:vAlign w:val="center"/>
          </w:tcPr>
          <w:p w14:paraId="52672893">
            <w:pPr>
              <w:ind w:firstLine="420"/>
              <w:rPr>
                <w:color w:val="auto"/>
                <w:highlight w:val="none"/>
                <w:shd w:val="clear" w:color="auto" w:fill="auto"/>
              </w:rPr>
            </w:pPr>
            <w:r>
              <w:rPr>
                <w:color w:val="auto"/>
                <w:highlight w:val="none"/>
                <w:shd w:val="clear" w:color="auto" w:fill="auto"/>
              </w:rPr>
              <w:t>外壳防护等级（IP代码）</w:t>
            </w:r>
          </w:p>
        </w:tc>
      </w:tr>
      <w:tr w14:paraId="189301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64DA9424">
            <w:pPr>
              <w:ind w:firstLine="420"/>
              <w:rPr>
                <w:color w:val="auto"/>
                <w:highlight w:val="none"/>
                <w:shd w:val="clear" w:color="auto" w:fill="auto"/>
              </w:rPr>
            </w:pPr>
            <w:r>
              <w:rPr>
                <w:color w:val="auto"/>
                <w:highlight w:val="none"/>
                <w:shd w:val="clear" w:color="auto" w:fill="auto"/>
              </w:rPr>
              <w:t>GB 7251.1</w:t>
            </w:r>
          </w:p>
        </w:tc>
        <w:tc>
          <w:tcPr>
            <w:tcW w:w="6424" w:type="dxa"/>
            <w:noWrap w:val="0"/>
            <w:tcMar>
              <w:left w:w="0" w:type="dxa"/>
              <w:right w:w="0" w:type="dxa"/>
            </w:tcMar>
            <w:vAlign w:val="center"/>
          </w:tcPr>
          <w:p w14:paraId="63391FE6">
            <w:pPr>
              <w:ind w:firstLine="420"/>
              <w:rPr>
                <w:color w:val="auto"/>
                <w:highlight w:val="none"/>
                <w:shd w:val="clear" w:color="auto" w:fill="auto"/>
              </w:rPr>
            </w:pPr>
            <w:r>
              <w:rPr>
                <w:color w:val="auto"/>
                <w:highlight w:val="none"/>
                <w:shd w:val="clear" w:color="auto" w:fill="auto"/>
              </w:rPr>
              <w:t>低压成套开关设备和控制设备 第1部分：型式试验和部分型式试验 成套设备</w:t>
            </w:r>
          </w:p>
        </w:tc>
      </w:tr>
      <w:tr w14:paraId="29D42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5EC80EF3">
            <w:pPr>
              <w:ind w:firstLine="420"/>
              <w:rPr>
                <w:color w:val="auto"/>
                <w:highlight w:val="none"/>
                <w:shd w:val="clear" w:color="auto" w:fill="auto"/>
              </w:rPr>
            </w:pPr>
            <w:r>
              <w:rPr>
                <w:color w:val="auto"/>
                <w:highlight w:val="none"/>
                <w:shd w:val="clear" w:color="auto" w:fill="auto"/>
              </w:rPr>
              <w:t>GB 50054</w:t>
            </w:r>
          </w:p>
        </w:tc>
        <w:tc>
          <w:tcPr>
            <w:tcW w:w="6424" w:type="dxa"/>
            <w:noWrap w:val="0"/>
            <w:tcMar>
              <w:left w:w="0" w:type="dxa"/>
              <w:right w:w="0" w:type="dxa"/>
            </w:tcMar>
            <w:vAlign w:val="center"/>
          </w:tcPr>
          <w:p w14:paraId="05215304">
            <w:pPr>
              <w:ind w:firstLine="420"/>
              <w:rPr>
                <w:color w:val="auto"/>
                <w:highlight w:val="none"/>
                <w:shd w:val="clear" w:color="auto" w:fill="auto"/>
              </w:rPr>
            </w:pPr>
            <w:r>
              <w:rPr>
                <w:color w:val="auto"/>
                <w:highlight w:val="none"/>
                <w:shd w:val="clear" w:color="auto" w:fill="auto"/>
              </w:rPr>
              <w:t>低压配电设计规范</w:t>
            </w:r>
          </w:p>
        </w:tc>
      </w:tr>
      <w:tr w14:paraId="378F8A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7D69C19D">
            <w:pPr>
              <w:ind w:firstLine="420"/>
              <w:rPr>
                <w:color w:val="auto"/>
                <w:highlight w:val="none"/>
                <w:shd w:val="clear" w:color="auto" w:fill="auto"/>
              </w:rPr>
            </w:pPr>
            <w:r>
              <w:rPr>
                <w:color w:val="auto"/>
                <w:highlight w:val="none"/>
                <w:shd w:val="clear" w:color="auto" w:fill="auto"/>
              </w:rPr>
              <w:t>GB/T 3859.1</w:t>
            </w:r>
          </w:p>
        </w:tc>
        <w:tc>
          <w:tcPr>
            <w:tcW w:w="6424" w:type="dxa"/>
            <w:noWrap w:val="0"/>
            <w:tcMar>
              <w:left w:w="0" w:type="dxa"/>
              <w:right w:w="0" w:type="dxa"/>
            </w:tcMar>
            <w:vAlign w:val="center"/>
          </w:tcPr>
          <w:p w14:paraId="169E1719">
            <w:pPr>
              <w:ind w:firstLine="420"/>
              <w:rPr>
                <w:color w:val="auto"/>
                <w:highlight w:val="none"/>
                <w:shd w:val="clear" w:color="auto" w:fill="auto"/>
              </w:rPr>
            </w:pPr>
            <w:r>
              <w:rPr>
                <w:color w:val="auto"/>
                <w:highlight w:val="none"/>
                <w:shd w:val="clear" w:color="auto" w:fill="auto"/>
              </w:rPr>
              <w:t>半导体变流器  基本要求的规定</w:t>
            </w:r>
          </w:p>
        </w:tc>
      </w:tr>
      <w:tr w14:paraId="50B3A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086A40B7">
            <w:pPr>
              <w:ind w:firstLine="420"/>
              <w:rPr>
                <w:color w:val="auto"/>
                <w:highlight w:val="none"/>
                <w:shd w:val="clear" w:color="auto" w:fill="auto"/>
              </w:rPr>
            </w:pPr>
            <w:r>
              <w:rPr>
                <w:color w:val="auto"/>
                <w:highlight w:val="none"/>
                <w:shd w:val="clear" w:color="auto" w:fill="auto"/>
              </w:rPr>
              <w:t>GB/T 7261</w:t>
            </w:r>
          </w:p>
        </w:tc>
        <w:tc>
          <w:tcPr>
            <w:tcW w:w="6424" w:type="dxa"/>
            <w:noWrap w:val="0"/>
            <w:tcMar>
              <w:left w:w="0" w:type="dxa"/>
              <w:right w:w="0" w:type="dxa"/>
            </w:tcMar>
            <w:vAlign w:val="center"/>
          </w:tcPr>
          <w:p w14:paraId="0A04FF58">
            <w:pPr>
              <w:ind w:firstLine="420"/>
              <w:rPr>
                <w:color w:val="auto"/>
                <w:highlight w:val="none"/>
                <w:shd w:val="clear" w:color="auto" w:fill="auto"/>
              </w:rPr>
            </w:pPr>
            <w:r>
              <w:rPr>
                <w:color w:val="auto"/>
                <w:highlight w:val="none"/>
                <w:shd w:val="clear" w:color="auto" w:fill="auto"/>
              </w:rPr>
              <w:t>继电器及继电器保护装置基本试验方法</w:t>
            </w:r>
          </w:p>
        </w:tc>
      </w:tr>
      <w:tr w14:paraId="40CBD6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2351A8A1">
            <w:pPr>
              <w:ind w:firstLine="420"/>
              <w:rPr>
                <w:color w:val="auto"/>
                <w:highlight w:val="none"/>
                <w:shd w:val="clear" w:color="auto" w:fill="auto"/>
              </w:rPr>
            </w:pPr>
            <w:r>
              <w:rPr>
                <w:color w:val="auto"/>
                <w:highlight w:val="none"/>
                <w:shd w:val="clear" w:color="auto" w:fill="auto"/>
              </w:rPr>
              <w:t>GB/T 17478</w:t>
            </w:r>
          </w:p>
        </w:tc>
        <w:tc>
          <w:tcPr>
            <w:tcW w:w="6424" w:type="dxa"/>
            <w:noWrap w:val="0"/>
            <w:tcMar>
              <w:left w:w="0" w:type="dxa"/>
              <w:right w:w="0" w:type="dxa"/>
            </w:tcMar>
            <w:vAlign w:val="center"/>
          </w:tcPr>
          <w:p w14:paraId="48B79B35">
            <w:pPr>
              <w:ind w:firstLine="420"/>
              <w:rPr>
                <w:color w:val="auto"/>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"book://ssreader/e0?url=http://172.17.32.108/bzqw/0606\\GBT17478-2004\\0001.pdg&amp;requirereg=0&amp;canprint=1" \o "点击查看详细内容" </w:instrText>
            </w:r>
            <w:r>
              <w:rPr>
                <w:color w:val="auto"/>
                <w:highlight w:val="none"/>
                <w:shd w:val="clear" w:color="auto" w:fill="auto"/>
              </w:rPr>
              <w:fldChar w:fldCharType="separate"/>
            </w:r>
            <w:r>
              <w:rPr>
                <w:color w:val="auto"/>
                <w:highlight w:val="none"/>
                <w:shd w:val="clear" w:color="auto" w:fill="auto"/>
              </w:rPr>
              <w:t>低压直流电源设备的性能特性</w:t>
            </w:r>
            <w:r>
              <w:rPr>
                <w:color w:val="auto"/>
                <w:highlight w:val="none"/>
                <w:shd w:val="clear" w:color="auto" w:fill="auto"/>
              </w:rPr>
              <w:fldChar w:fldCharType="end"/>
            </w:r>
          </w:p>
        </w:tc>
      </w:tr>
      <w:tr w14:paraId="40237B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CFEFF1A">
            <w:pPr>
              <w:ind w:firstLine="420"/>
              <w:rPr>
                <w:color w:val="auto"/>
                <w:highlight w:val="none"/>
                <w:shd w:val="clear" w:color="auto" w:fill="auto"/>
              </w:rPr>
            </w:pPr>
            <w:r>
              <w:rPr>
                <w:color w:val="auto"/>
                <w:highlight w:val="none"/>
                <w:shd w:val="clear" w:color="auto" w:fill="auto"/>
              </w:rPr>
              <w:t>GB/T 2900.11</w:t>
            </w:r>
          </w:p>
        </w:tc>
        <w:tc>
          <w:tcPr>
            <w:tcW w:w="6424" w:type="dxa"/>
            <w:noWrap w:val="0"/>
            <w:tcMar>
              <w:left w:w="0" w:type="dxa"/>
              <w:right w:w="0" w:type="dxa"/>
            </w:tcMar>
            <w:vAlign w:val="center"/>
          </w:tcPr>
          <w:p w14:paraId="78AFBABB">
            <w:pPr>
              <w:ind w:firstLine="420"/>
              <w:rPr>
                <w:color w:val="auto"/>
                <w:highlight w:val="none"/>
                <w:shd w:val="clear" w:color="auto" w:fill="auto"/>
              </w:rPr>
            </w:pPr>
            <w:r>
              <w:rPr>
                <w:color w:val="auto"/>
                <w:highlight w:val="none"/>
                <w:shd w:val="clear" w:color="auto" w:fill="auto"/>
              </w:rPr>
              <w:t>蓄电池名词术语</w:t>
            </w:r>
          </w:p>
        </w:tc>
      </w:tr>
      <w:tr w14:paraId="37E93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2FFFF7A3">
            <w:pPr>
              <w:ind w:firstLine="420"/>
              <w:rPr>
                <w:color w:val="auto"/>
                <w:highlight w:val="none"/>
                <w:shd w:val="clear" w:color="auto" w:fill="auto"/>
              </w:rPr>
            </w:pPr>
            <w:r>
              <w:rPr>
                <w:color w:val="auto"/>
                <w:highlight w:val="none"/>
                <w:shd w:val="clear" w:color="auto" w:fill="auto"/>
              </w:rPr>
              <w:t>GB/T 17626.2</w:t>
            </w:r>
          </w:p>
        </w:tc>
        <w:tc>
          <w:tcPr>
            <w:tcW w:w="6424" w:type="dxa"/>
            <w:noWrap w:val="0"/>
            <w:tcMar>
              <w:left w:w="0" w:type="dxa"/>
              <w:right w:w="0" w:type="dxa"/>
            </w:tcMar>
            <w:vAlign w:val="center"/>
          </w:tcPr>
          <w:p w14:paraId="409FCA24">
            <w:pPr>
              <w:ind w:firstLine="420"/>
              <w:rPr>
                <w:color w:val="auto"/>
                <w:highlight w:val="none"/>
                <w:shd w:val="clear" w:color="auto" w:fill="auto"/>
              </w:rPr>
            </w:pPr>
            <w:r>
              <w:rPr>
                <w:color w:val="auto"/>
                <w:highlight w:val="none"/>
                <w:shd w:val="clear" w:color="auto" w:fill="auto"/>
              </w:rPr>
              <w:t>电磁兼容试验和测量技术 静电放电抗扰度试验</w:t>
            </w:r>
          </w:p>
        </w:tc>
      </w:tr>
      <w:tr w14:paraId="6011A1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7C7C8E26">
            <w:pPr>
              <w:ind w:firstLine="420"/>
              <w:rPr>
                <w:color w:val="auto"/>
                <w:highlight w:val="none"/>
                <w:shd w:val="clear" w:color="auto" w:fill="auto"/>
              </w:rPr>
            </w:pPr>
            <w:r>
              <w:rPr>
                <w:color w:val="auto"/>
                <w:highlight w:val="none"/>
                <w:shd w:val="clear" w:color="auto" w:fill="auto"/>
              </w:rPr>
              <w:t>GB/T 17626.12</w:t>
            </w:r>
          </w:p>
        </w:tc>
        <w:tc>
          <w:tcPr>
            <w:tcW w:w="6424" w:type="dxa"/>
            <w:noWrap w:val="0"/>
            <w:tcMar>
              <w:left w:w="0" w:type="dxa"/>
              <w:right w:w="0" w:type="dxa"/>
            </w:tcMar>
            <w:vAlign w:val="center"/>
          </w:tcPr>
          <w:p w14:paraId="14A807A3">
            <w:pPr>
              <w:ind w:firstLine="420"/>
              <w:rPr>
                <w:color w:val="auto"/>
                <w:highlight w:val="none"/>
                <w:shd w:val="clear" w:color="auto" w:fill="auto"/>
              </w:rPr>
            </w:pPr>
            <w:r>
              <w:rPr>
                <w:color w:val="auto"/>
                <w:highlight w:val="none"/>
                <w:shd w:val="clear" w:color="auto" w:fill="auto"/>
              </w:rPr>
              <w:t>电磁兼容试验和测量技术 振荡波抗扰度试验</w:t>
            </w:r>
          </w:p>
        </w:tc>
      </w:tr>
      <w:tr w14:paraId="458A1B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67F7E6E3">
            <w:pPr>
              <w:ind w:firstLine="420"/>
              <w:rPr>
                <w:color w:val="auto"/>
                <w:highlight w:val="none"/>
                <w:shd w:val="clear" w:color="auto" w:fill="auto"/>
              </w:rPr>
            </w:pPr>
            <w:r>
              <w:rPr>
                <w:color w:val="auto"/>
                <w:highlight w:val="none"/>
                <w:shd w:val="clear" w:color="auto" w:fill="auto"/>
              </w:rPr>
              <w:t>GB/T 19638.2</w:t>
            </w:r>
          </w:p>
        </w:tc>
        <w:tc>
          <w:tcPr>
            <w:tcW w:w="6424" w:type="dxa"/>
            <w:noWrap w:val="0"/>
            <w:tcMar>
              <w:left w:w="0" w:type="dxa"/>
              <w:right w:w="0" w:type="dxa"/>
            </w:tcMar>
            <w:vAlign w:val="center"/>
          </w:tcPr>
          <w:p w14:paraId="0CE551DF">
            <w:pPr>
              <w:ind w:firstLine="420"/>
              <w:rPr>
                <w:color w:val="auto"/>
                <w:highlight w:val="none"/>
                <w:shd w:val="clear" w:color="auto" w:fill="auto"/>
              </w:rPr>
            </w:pPr>
            <w:r>
              <w:rPr>
                <w:color w:val="auto"/>
                <w:highlight w:val="none"/>
                <w:shd w:val="clear" w:color="auto" w:fill="auto"/>
              </w:rPr>
              <w:t>固定型阀控密封式铅酸蓄电池</w:t>
            </w:r>
          </w:p>
        </w:tc>
      </w:tr>
      <w:tr w14:paraId="13137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077042CF">
            <w:pPr>
              <w:ind w:firstLine="420"/>
              <w:rPr>
                <w:color w:val="auto"/>
                <w:highlight w:val="none"/>
                <w:shd w:val="clear" w:color="auto" w:fill="auto"/>
              </w:rPr>
            </w:pPr>
            <w:r>
              <w:rPr>
                <w:color w:val="auto"/>
                <w:highlight w:val="none"/>
                <w:shd w:val="clear" w:color="auto" w:fill="auto"/>
              </w:rPr>
              <w:t>DL/T 637</w:t>
            </w:r>
          </w:p>
        </w:tc>
        <w:tc>
          <w:tcPr>
            <w:tcW w:w="6424" w:type="dxa"/>
            <w:noWrap w:val="0"/>
            <w:tcMar>
              <w:left w:w="0" w:type="dxa"/>
              <w:right w:w="0" w:type="dxa"/>
            </w:tcMar>
            <w:vAlign w:val="center"/>
          </w:tcPr>
          <w:p w14:paraId="218C573A">
            <w:pPr>
              <w:ind w:firstLine="420"/>
              <w:rPr>
                <w:color w:val="auto"/>
                <w:highlight w:val="none"/>
                <w:shd w:val="clear" w:color="auto" w:fill="auto"/>
              </w:rPr>
            </w:pPr>
            <w:r>
              <w:rPr>
                <w:color w:val="auto"/>
                <w:highlight w:val="none"/>
                <w:shd w:val="clear" w:color="auto" w:fill="auto"/>
              </w:rPr>
              <w:t>阀控式密封铅酸蓄电池订货技术条件</w:t>
            </w:r>
          </w:p>
        </w:tc>
      </w:tr>
      <w:tr w14:paraId="642144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666F2AB6">
            <w:pPr>
              <w:ind w:firstLine="420"/>
              <w:rPr>
                <w:color w:val="auto"/>
                <w:highlight w:val="none"/>
                <w:shd w:val="clear" w:color="auto" w:fill="auto"/>
              </w:rPr>
            </w:pPr>
            <w:r>
              <w:rPr>
                <w:color w:val="auto"/>
                <w:highlight w:val="none"/>
                <w:shd w:val="clear" w:color="auto" w:fill="auto"/>
              </w:rPr>
              <w:t>DL/T 459</w:t>
            </w:r>
          </w:p>
        </w:tc>
        <w:tc>
          <w:tcPr>
            <w:tcW w:w="6424" w:type="dxa"/>
            <w:noWrap w:val="0"/>
            <w:tcMar>
              <w:left w:w="0" w:type="dxa"/>
              <w:right w:w="0" w:type="dxa"/>
            </w:tcMar>
            <w:vAlign w:val="center"/>
          </w:tcPr>
          <w:p w14:paraId="2C096603">
            <w:pPr>
              <w:ind w:firstLine="420"/>
              <w:rPr>
                <w:color w:val="auto"/>
                <w:highlight w:val="none"/>
                <w:shd w:val="clear" w:color="auto" w:fill="auto"/>
              </w:rPr>
            </w:pPr>
            <w:r>
              <w:rPr>
                <w:color w:val="auto"/>
                <w:highlight w:val="none"/>
                <w:shd w:val="clear" w:color="auto" w:fill="auto"/>
              </w:rPr>
              <w:t>电力系统直流电源柜订货技术条件</w:t>
            </w:r>
          </w:p>
        </w:tc>
      </w:tr>
      <w:tr w14:paraId="044C3D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5FFE32D">
            <w:pPr>
              <w:ind w:firstLine="420"/>
              <w:rPr>
                <w:color w:val="auto"/>
                <w:highlight w:val="none"/>
                <w:shd w:val="clear" w:color="auto" w:fill="auto"/>
              </w:rPr>
            </w:pPr>
            <w:r>
              <w:rPr>
                <w:color w:val="auto"/>
                <w:highlight w:val="none"/>
                <w:shd w:val="clear" w:color="auto" w:fill="auto"/>
              </w:rPr>
              <w:t>DL/T 781</w:t>
            </w:r>
          </w:p>
        </w:tc>
        <w:tc>
          <w:tcPr>
            <w:tcW w:w="6424" w:type="dxa"/>
            <w:noWrap w:val="0"/>
            <w:tcMar>
              <w:left w:w="0" w:type="dxa"/>
              <w:right w:w="0" w:type="dxa"/>
            </w:tcMar>
            <w:vAlign w:val="center"/>
          </w:tcPr>
          <w:p w14:paraId="70F68AFF">
            <w:pPr>
              <w:ind w:firstLine="420"/>
              <w:rPr>
                <w:color w:val="auto"/>
                <w:highlight w:val="none"/>
                <w:shd w:val="clear" w:color="auto" w:fill="auto"/>
              </w:rPr>
            </w:pPr>
            <w:r>
              <w:rPr>
                <w:color w:val="auto"/>
                <w:highlight w:val="none"/>
                <w:shd w:val="clear" w:color="auto" w:fill="auto"/>
              </w:rPr>
              <w:t>电力用高频开关整流模块</w:t>
            </w:r>
          </w:p>
        </w:tc>
      </w:tr>
      <w:tr w14:paraId="69087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0F8D814C">
            <w:pPr>
              <w:ind w:firstLine="420"/>
              <w:rPr>
                <w:color w:val="auto"/>
                <w:highlight w:val="none"/>
                <w:shd w:val="clear" w:color="auto" w:fill="auto"/>
              </w:rPr>
            </w:pPr>
            <w:r>
              <w:rPr>
                <w:color w:val="auto"/>
                <w:highlight w:val="none"/>
                <w:shd w:val="clear" w:color="auto" w:fill="auto"/>
              </w:rPr>
              <w:t>DL/T 5044</w:t>
            </w:r>
          </w:p>
        </w:tc>
        <w:tc>
          <w:tcPr>
            <w:tcW w:w="6424" w:type="dxa"/>
            <w:noWrap w:val="0"/>
            <w:tcMar>
              <w:left w:w="0" w:type="dxa"/>
              <w:right w:w="0" w:type="dxa"/>
            </w:tcMar>
            <w:vAlign w:val="center"/>
          </w:tcPr>
          <w:p w14:paraId="4332C530">
            <w:pPr>
              <w:ind w:firstLine="420"/>
              <w:rPr>
                <w:color w:val="auto"/>
                <w:highlight w:val="none"/>
                <w:shd w:val="clear" w:color="auto" w:fill="auto"/>
              </w:rPr>
            </w:pPr>
            <w:r>
              <w:rPr>
                <w:color w:val="auto"/>
                <w:highlight w:val="none"/>
                <w:shd w:val="clear" w:color="auto" w:fill="auto"/>
              </w:rPr>
              <w:t>电力工程直流系统设计技术规程</w:t>
            </w:r>
          </w:p>
        </w:tc>
      </w:tr>
      <w:tr w14:paraId="349689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0D4676E2">
            <w:pPr>
              <w:ind w:firstLine="420"/>
              <w:rPr>
                <w:color w:val="auto"/>
                <w:highlight w:val="none"/>
                <w:shd w:val="clear" w:color="auto" w:fill="auto"/>
              </w:rPr>
            </w:pPr>
            <w:r>
              <w:rPr>
                <w:color w:val="auto"/>
                <w:highlight w:val="none"/>
                <w:shd w:val="clear" w:color="auto" w:fill="auto"/>
              </w:rPr>
              <w:t>DL/T 724</w:t>
            </w:r>
          </w:p>
        </w:tc>
        <w:tc>
          <w:tcPr>
            <w:tcW w:w="6424" w:type="dxa"/>
            <w:noWrap w:val="0"/>
            <w:tcMar>
              <w:left w:w="0" w:type="dxa"/>
              <w:right w:w="0" w:type="dxa"/>
            </w:tcMar>
            <w:vAlign w:val="center"/>
          </w:tcPr>
          <w:p w14:paraId="372B37B4">
            <w:pPr>
              <w:ind w:firstLine="420"/>
              <w:rPr>
                <w:color w:val="auto"/>
                <w:highlight w:val="none"/>
                <w:shd w:val="clear" w:color="auto" w:fill="auto"/>
              </w:rPr>
            </w:pPr>
            <w:r>
              <w:rPr>
                <w:color w:val="auto"/>
                <w:highlight w:val="none"/>
                <w:shd w:val="clear" w:color="auto" w:fill="auto"/>
              </w:rPr>
              <w:t>电力系统用蓄电池直流电源装置运行与维护规程</w:t>
            </w:r>
          </w:p>
        </w:tc>
      </w:tr>
      <w:tr w14:paraId="63E61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EC2045D">
            <w:pPr>
              <w:ind w:firstLine="420"/>
              <w:rPr>
                <w:color w:val="auto"/>
                <w:highlight w:val="none"/>
                <w:shd w:val="clear" w:color="auto" w:fill="auto"/>
              </w:rPr>
            </w:pPr>
            <w:r>
              <w:rPr>
                <w:color w:val="auto"/>
                <w:highlight w:val="none"/>
                <w:shd w:val="clear" w:color="auto" w:fill="auto"/>
              </w:rPr>
              <w:t>DL/T 5136</w:t>
            </w:r>
          </w:p>
        </w:tc>
        <w:tc>
          <w:tcPr>
            <w:tcW w:w="6424" w:type="dxa"/>
            <w:noWrap w:val="0"/>
            <w:tcMar>
              <w:left w:w="0" w:type="dxa"/>
              <w:right w:w="0" w:type="dxa"/>
            </w:tcMar>
            <w:vAlign w:val="center"/>
          </w:tcPr>
          <w:p w14:paraId="01DDD3D4">
            <w:pPr>
              <w:ind w:firstLine="420"/>
              <w:rPr>
                <w:color w:val="auto"/>
                <w:highlight w:val="none"/>
                <w:shd w:val="clear" w:color="auto" w:fill="auto"/>
              </w:rPr>
            </w:pPr>
            <w:r>
              <w:rPr>
                <w:color w:val="auto"/>
                <w:highlight w:val="none"/>
                <w:shd w:val="clear" w:color="auto" w:fill="auto"/>
              </w:rPr>
              <w:t>火力发电厂、变电所二次接线设计技术规程</w:t>
            </w:r>
          </w:p>
        </w:tc>
      </w:tr>
      <w:tr w14:paraId="3A754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0DF5F1F6">
            <w:pPr>
              <w:ind w:firstLine="420"/>
              <w:rPr>
                <w:color w:val="auto"/>
                <w:highlight w:val="none"/>
                <w:shd w:val="clear" w:color="auto" w:fill="auto"/>
              </w:rPr>
            </w:pPr>
            <w:r>
              <w:rPr>
                <w:color w:val="auto"/>
                <w:highlight w:val="none"/>
                <w:shd w:val="clear" w:color="auto" w:fill="auto"/>
              </w:rPr>
              <w:t>DL/T 5137</w:t>
            </w:r>
          </w:p>
        </w:tc>
        <w:tc>
          <w:tcPr>
            <w:tcW w:w="6424" w:type="dxa"/>
            <w:noWrap w:val="0"/>
            <w:tcMar>
              <w:left w:w="0" w:type="dxa"/>
              <w:right w:w="0" w:type="dxa"/>
            </w:tcMar>
            <w:vAlign w:val="center"/>
          </w:tcPr>
          <w:p w14:paraId="1B9A8B51">
            <w:pPr>
              <w:ind w:firstLine="420"/>
              <w:rPr>
                <w:color w:val="auto"/>
                <w:highlight w:val="none"/>
                <w:shd w:val="clear" w:color="auto" w:fill="auto"/>
              </w:rPr>
            </w:pPr>
            <w:r>
              <w:rPr>
                <w:color w:val="auto"/>
                <w:highlight w:val="none"/>
                <w:shd w:val="clear" w:color="auto" w:fill="auto"/>
              </w:rPr>
              <w:t>电测量及电能计量装置设计技术规程</w:t>
            </w:r>
          </w:p>
        </w:tc>
      </w:tr>
      <w:tr w14:paraId="5A3C41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048B64B7">
            <w:pPr>
              <w:ind w:firstLine="420"/>
              <w:rPr>
                <w:color w:val="auto"/>
                <w:highlight w:val="none"/>
                <w:shd w:val="clear" w:color="auto" w:fill="auto"/>
              </w:rPr>
            </w:pPr>
            <w:r>
              <w:rPr>
                <w:color w:val="auto"/>
                <w:highlight w:val="none"/>
                <w:shd w:val="clear" w:color="auto" w:fill="auto"/>
              </w:rPr>
              <w:t>DL/T 1074</w:t>
            </w:r>
          </w:p>
        </w:tc>
        <w:tc>
          <w:tcPr>
            <w:tcW w:w="6424" w:type="dxa"/>
            <w:noWrap w:val="0"/>
            <w:tcMar>
              <w:left w:w="0" w:type="dxa"/>
              <w:right w:w="0" w:type="dxa"/>
            </w:tcMar>
            <w:vAlign w:val="center"/>
          </w:tcPr>
          <w:p w14:paraId="0EA883A3">
            <w:pPr>
              <w:ind w:firstLine="420"/>
              <w:rPr>
                <w:color w:val="auto"/>
                <w:highlight w:val="none"/>
                <w:shd w:val="clear" w:color="auto" w:fill="auto"/>
              </w:rPr>
            </w:pPr>
            <w:r>
              <w:rPr>
                <w:color w:val="auto"/>
                <w:highlight w:val="none"/>
                <w:shd w:val="clear" w:color="auto" w:fill="auto"/>
              </w:rPr>
              <w:t>电力用直流和交流一体化不间断电源设备</w:t>
            </w:r>
          </w:p>
        </w:tc>
      </w:tr>
      <w:tr w14:paraId="0BB6F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1A3742C8">
            <w:pPr>
              <w:ind w:firstLine="420"/>
              <w:rPr>
                <w:color w:val="auto"/>
                <w:highlight w:val="none"/>
                <w:shd w:val="clear" w:color="auto" w:fill="auto"/>
              </w:rPr>
            </w:pPr>
            <w:r>
              <w:rPr>
                <w:color w:val="auto"/>
                <w:highlight w:val="none"/>
                <w:shd w:val="clear" w:color="auto" w:fill="auto"/>
              </w:rPr>
              <w:t>DL/T 857</w:t>
            </w:r>
          </w:p>
        </w:tc>
        <w:tc>
          <w:tcPr>
            <w:tcW w:w="6424" w:type="dxa"/>
            <w:noWrap w:val="0"/>
            <w:tcMar>
              <w:left w:w="0" w:type="dxa"/>
              <w:right w:w="0" w:type="dxa"/>
            </w:tcMar>
            <w:vAlign w:val="center"/>
          </w:tcPr>
          <w:p w14:paraId="5066DA10">
            <w:pPr>
              <w:ind w:firstLine="420"/>
              <w:rPr>
                <w:color w:val="auto"/>
                <w:highlight w:val="none"/>
                <w:shd w:val="clear" w:color="auto" w:fill="auto"/>
              </w:rPr>
            </w:pPr>
            <w:r>
              <w:rPr>
                <w:color w:val="auto"/>
                <w:highlight w:val="none"/>
                <w:shd w:val="clear" w:color="auto" w:fill="auto"/>
              </w:rPr>
              <w:t>发电厂、变电所蓄电池用整流逆变设备技术条件</w:t>
            </w:r>
          </w:p>
        </w:tc>
      </w:tr>
      <w:tr w14:paraId="7C45CF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A3A6009">
            <w:pPr>
              <w:ind w:firstLine="420"/>
              <w:rPr>
                <w:color w:val="auto"/>
                <w:highlight w:val="none"/>
                <w:shd w:val="clear" w:color="auto" w:fill="auto"/>
              </w:rPr>
            </w:pPr>
            <w:r>
              <w:rPr>
                <w:color w:val="auto"/>
                <w:highlight w:val="none"/>
                <w:shd w:val="clear" w:color="auto" w:fill="auto"/>
              </w:rPr>
              <w:t>YD/T 731</w:t>
            </w:r>
          </w:p>
        </w:tc>
        <w:tc>
          <w:tcPr>
            <w:tcW w:w="6424" w:type="dxa"/>
            <w:noWrap w:val="0"/>
            <w:tcMar>
              <w:left w:w="0" w:type="dxa"/>
              <w:right w:w="0" w:type="dxa"/>
            </w:tcMar>
            <w:vAlign w:val="center"/>
          </w:tcPr>
          <w:p w14:paraId="25C45E40">
            <w:pPr>
              <w:ind w:firstLine="420"/>
              <w:rPr>
                <w:color w:val="auto"/>
                <w:highlight w:val="none"/>
                <w:shd w:val="clear" w:color="auto" w:fill="auto"/>
              </w:rPr>
            </w:pPr>
            <w:r>
              <w:rPr>
                <w:color w:val="auto"/>
                <w:highlight w:val="none"/>
                <w:shd w:val="clear" w:color="auto" w:fill="auto"/>
              </w:rPr>
              <w:t>通讯用高频开关整流器</w:t>
            </w:r>
          </w:p>
        </w:tc>
      </w:tr>
      <w:tr w14:paraId="266BB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3D4EF9F">
            <w:pPr>
              <w:ind w:firstLine="420"/>
              <w:rPr>
                <w:color w:val="auto"/>
                <w:highlight w:val="none"/>
                <w:shd w:val="clear" w:color="auto" w:fill="auto"/>
              </w:rPr>
            </w:pPr>
            <w:r>
              <w:rPr>
                <w:color w:val="auto"/>
                <w:highlight w:val="none"/>
                <w:shd w:val="clear" w:color="auto" w:fill="auto"/>
              </w:rPr>
              <w:t>JB/T 8456</w:t>
            </w:r>
          </w:p>
        </w:tc>
        <w:tc>
          <w:tcPr>
            <w:tcW w:w="6424" w:type="dxa"/>
            <w:noWrap w:val="0"/>
            <w:tcMar>
              <w:left w:w="0" w:type="dxa"/>
              <w:right w:w="0" w:type="dxa"/>
            </w:tcMar>
            <w:vAlign w:val="center"/>
          </w:tcPr>
          <w:p w14:paraId="2A0A93C7">
            <w:pPr>
              <w:ind w:firstLine="420"/>
              <w:rPr>
                <w:color w:val="auto"/>
                <w:highlight w:val="none"/>
                <w:shd w:val="clear" w:color="auto" w:fill="auto"/>
              </w:rPr>
            </w:pPr>
            <w:r>
              <w:rPr>
                <w:color w:val="auto"/>
                <w:highlight w:val="none"/>
                <w:shd w:val="clear" w:color="auto" w:fill="auto"/>
              </w:rPr>
              <w:t>低压直流成套开关设备和控制设备</w:t>
            </w:r>
          </w:p>
        </w:tc>
      </w:tr>
      <w:tr w14:paraId="0A8BC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1FC9D4B">
            <w:pPr>
              <w:ind w:firstLine="420"/>
              <w:rPr>
                <w:color w:val="auto"/>
                <w:highlight w:val="none"/>
                <w:shd w:val="clear" w:color="auto" w:fill="auto"/>
              </w:rPr>
            </w:pPr>
            <w:r>
              <w:rPr>
                <w:color w:val="auto"/>
                <w:highlight w:val="none"/>
                <w:shd w:val="clear" w:color="auto" w:fill="auto"/>
              </w:rPr>
              <w:t>生产输电[2003]95号</w:t>
            </w:r>
          </w:p>
        </w:tc>
        <w:tc>
          <w:tcPr>
            <w:tcW w:w="6424" w:type="dxa"/>
            <w:noWrap w:val="0"/>
            <w:tcMar>
              <w:left w:w="0" w:type="dxa"/>
              <w:right w:w="0" w:type="dxa"/>
            </w:tcMar>
            <w:vAlign w:val="center"/>
          </w:tcPr>
          <w:p w14:paraId="41C92801">
            <w:pPr>
              <w:ind w:firstLine="420"/>
              <w:rPr>
                <w:color w:val="auto"/>
                <w:highlight w:val="none"/>
                <w:shd w:val="clear" w:color="auto" w:fill="auto"/>
              </w:rPr>
            </w:pPr>
            <w:r>
              <w:rPr>
                <w:color w:val="auto"/>
                <w:highlight w:val="none"/>
                <w:shd w:val="clear" w:color="auto" w:fill="auto"/>
              </w:rPr>
              <w:t>国家电网公司电力生产设备评估管理办法</w:t>
            </w:r>
          </w:p>
        </w:tc>
      </w:tr>
      <w:tr w14:paraId="6173AC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342B62FE">
            <w:pPr>
              <w:ind w:firstLine="420"/>
              <w:rPr>
                <w:color w:val="auto"/>
                <w:highlight w:val="none"/>
                <w:shd w:val="clear" w:color="auto" w:fill="auto"/>
              </w:rPr>
            </w:pPr>
            <w:r>
              <w:rPr>
                <w:color w:val="auto"/>
                <w:highlight w:val="none"/>
                <w:shd w:val="clear" w:color="auto" w:fill="auto"/>
              </w:rPr>
              <w:t>生产输电[2003]29号</w:t>
            </w:r>
          </w:p>
        </w:tc>
        <w:tc>
          <w:tcPr>
            <w:tcW w:w="6424" w:type="dxa"/>
            <w:noWrap w:val="0"/>
            <w:tcMar>
              <w:left w:w="0" w:type="dxa"/>
              <w:right w:w="0" w:type="dxa"/>
            </w:tcMar>
            <w:vAlign w:val="center"/>
          </w:tcPr>
          <w:p w14:paraId="4D9FA6EF">
            <w:pPr>
              <w:ind w:firstLine="420"/>
              <w:rPr>
                <w:color w:val="auto"/>
                <w:highlight w:val="none"/>
                <w:shd w:val="clear" w:color="auto" w:fill="auto"/>
              </w:rPr>
            </w:pPr>
            <w:r>
              <w:rPr>
                <w:color w:val="auto"/>
                <w:highlight w:val="none"/>
                <w:shd w:val="clear" w:color="auto" w:fill="auto"/>
              </w:rPr>
              <w:t>国家电网公司关于加强电力生产技术监督工作意见</w:t>
            </w:r>
          </w:p>
        </w:tc>
      </w:tr>
      <w:tr w14:paraId="68550B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1B23BDEB">
            <w:pPr>
              <w:ind w:firstLine="0" w:firstLineChars="0"/>
              <w:rPr>
                <w:color w:val="auto"/>
                <w:highlight w:val="none"/>
                <w:shd w:val="clear" w:color="auto" w:fill="auto"/>
              </w:rPr>
            </w:pPr>
            <w:r>
              <w:rPr>
                <w:color w:val="auto"/>
                <w:highlight w:val="none"/>
                <w:shd w:val="clear" w:color="auto" w:fill="auto"/>
              </w:rPr>
              <w:t>国家电网生[2004]641号</w:t>
            </w:r>
          </w:p>
        </w:tc>
        <w:tc>
          <w:tcPr>
            <w:tcW w:w="6424" w:type="dxa"/>
            <w:noWrap w:val="0"/>
            <w:tcMar>
              <w:left w:w="0" w:type="dxa"/>
              <w:right w:w="0" w:type="dxa"/>
            </w:tcMar>
            <w:vAlign w:val="center"/>
          </w:tcPr>
          <w:p w14:paraId="1E290654">
            <w:pPr>
              <w:ind w:firstLine="420"/>
              <w:rPr>
                <w:color w:val="auto"/>
                <w:highlight w:val="none"/>
                <w:shd w:val="clear" w:color="auto" w:fill="auto"/>
              </w:rPr>
            </w:pPr>
            <w:r>
              <w:rPr>
                <w:color w:val="auto"/>
                <w:highlight w:val="none"/>
                <w:shd w:val="clear" w:color="auto" w:fill="auto"/>
              </w:rPr>
              <w:t>国家电网公司预防直流电源系统事故措施</w:t>
            </w:r>
          </w:p>
        </w:tc>
      </w:tr>
      <w:tr w14:paraId="1F2BC7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498" w:type="dxa"/>
            <w:noWrap w:val="0"/>
            <w:tcMar>
              <w:left w:w="0" w:type="dxa"/>
              <w:right w:w="0" w:type="dxa"/>
            </w:tcMar>
            <w:vAlign w:val="center"/>
          </w:tcPr>
          <w:p w14:paraId="656178BD">
            <w:pPr>
              <w:ind w:firstLine="420"/>
              <w:rPr>
                <w:color w:val="auto"/>
                <w:highlight w:val="none"/>
                <w:shd w:val="clear" w:color="auto" w:fill="auto"/>
              </w:rPr>
            </w:pPr>
            <w:r>
              <w:rPr>
                <w:color w:val="auto"/>
                <w:highlight w:val="none"/>
                <w:shd w:val="clear" w:color="auto" w:fill="auto"/>
              </w:rPr>
              <w:t>国调［2005］222号</w:t>
            </w:r>
          </w:p>
        </w:tc>
        <w:tc>
          <w:tcPr>
            <w:tcW w:w="6424" w:type="dxa"/>
            <w:noWrap w:val="0"/>
            <w:tcMar>
              <w:left w:w="0" w:type="dxa"/>
              <w:right w:w="0" w:type="dxa"/>
            </w:tcMar>
            <w:vAlign w:val="center"/>
          </w:tcPr>
          <w:p w14:paraId="529291B8">
            <w:pPr>
              <w:ind w:firstLine="420"/>
              <w:rPr>
                <w:color w:val="auto"/>
                <w:highlight w:val="none"/>
                <w:shd w:val="clear" w:color="auto" w:fill="auto"/>
              </w:rPr>
            </w:pPr>
            <w:r>
              <w:rPr>
                <w:color w:val="auto"/>
                <w:highlight w:val="none"/>
                <w:shd w:val="clear" w:color="auto" w:fill="auto"/>
              </w:rPr>
              <w:t>国家电网公司十八项电网重大反事故措施（试行）</w:t>
            </w:r>
          </w:p>
        </w:tc>
      </w:tr>
    </w:tbl>
    <w:p w14:paraId="481FBD4D">
      <w:pPr>
        <w:pStyle w:val="61"/>
        <w:outlineLvl w:val="0"/>
        <w:rPr>
          <w:color w:val="auto"/>
          <w:highlight w:val="none"/>
          <w:shd w:val="clear" w:color="auto" w:fill="auto"/>
        </w:rPr>
      </w:pPr>
      <w:r>
        <w:rPr>
          <w:rFonts w:hint="eastAsia"/>
          <w:color w:val="auto"/>
          <w:highlight w:val="none"/>
          <w:shd w:val="clear" w:color="auto" w:fill="auto"/>
        </w:rPr>
        <w:t>3　术语和定义</w:t>
      </w:r>
      <w:bookmarkEnd w:id="5"/>
    </w:p>
    <w:p w14:paraId="22CBC065">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下列术语和定义适用于本文件。</w:t>
      </w:r>
    </w:p>
    <w:p w14:paraId="68E2D545">
      <w:pPr>
        <w:topLinePunct/>
        <w:spacing w:line="326" w:lineRule="exact"/>
        <w:ind w:firstLine="420"/>
        <w:rPr>
          <w:snapToGrid w:val="0"/>
          <w:color w:val="auto"/>
          <w:szCs w:val="21"/>
          <w:highlight w:val="none"/>
          <w:shd w:val="clear" w:color="auto" w:fill="auto"/>
        </w:rPr>
      </w:pPr>
      <w:r>
        <w:rPr>
          <w:snapToGrid w:val="0"/>
          <w:color w:val="auto"/>
          <w:szCs w:val="21"/>
          <w:highlight w:val="none"/>
          <w:shd w:val="clear" w:color="auto" w:fill="auto"/>
        </w:rPr>
        <w:t>3.1</w:t>
      </w:r>
      <w:r>
        <w:rPr>
          <w:rFonts w:hint="eastAsia"/>
          <w:snapToGrid w:val="0"/>
          <w:color w:val="auto"/>
          <w:szCs w:val="21"/>
          <w:highlight w:val="none"/>
          <w:shd w:val="clear" w:color="auto" w:fill="auto"/>
        </w:rPr>
        <w:t>　</w:t>
      </w:r>
    </w:p>
    <w:p w14:paraId="4E29E460">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招标人　</w:t>
      </w:r>
      <w:r>
        <w:rPr>
          <w:snapToGrid w:val="0"/>
          <w:color w:val="auto"/>
          <w:szCs w:val="21"/>
          <w:highlight w:val="none"/>
          <w:shd w:val="clear" w:color="auto" w:fill="auto"/>
        </w:rPr>
        <w:t>bidder</w:t>
      </w:r>
    </w:p>
    <w:p w14:paraId="0457C5C3">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提出招标项目，进行招标的法人或其他组织。</w:t>
      </w:r>
    </w:p>
    <w:p w14:paraId="3AAAA63F">
      <w:pPr>
        <w:topLinePunct/>
        <w:spacing w:line="326" w:lineRule="exact"/>
        <w:ind w:firstLine="420"/>
        <w:rPr>
          <w:snapToGrid w:val="0"/>
          <w:color w:val="auto"/>
          <w:szCs w:val="21"/>
          <w:highlight w:val="none"/>
          <w:shd w:val="clear" w:color="auto" w:fill="auto"/>
        </w:rPr>
      </w:pPr>
      <w:r>
        <w:rPr>
          <w:snapToGrid w:val="0"/>
          <w:color w:val="auto"/>
          <w:szCs w:val="21"/>
          <w:highlight w:val="none"/>
          <w:shd w:val="clear" w:color="auto" w:fill="auto"/>
        </w:rPr>
        <w:t>3.2</w:t>
      </w:r>
      <w:r>
        <w:rPr>
          <w:rFonts w:hint="eastAsia"/>
          <w:snapToGrid w:val="0"/>
          <w:color w:val="auto"/>
          <w:szCs w:val="21"/>
          <w:highlight w:val="none"/>
          <w:shd w:val="clear" w:color="auto" w:fill="auto"/>
        </w:rPr>
        <w:t>　</w:t>
      </w:r>
    </w:p>
    <w:p w14:paraId="6E1BE7D7">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投标人　</w:t>
      </w:r>
      <w:r>
        <w:rPr>
          <w:snapToGrid w:val="0"/>
          <w:color w:val="auto"/>
          <w:szCs w:val="21"/>
          <w:highlight w:val="none"/>
          <w:shd w:val="clear" w:color="auto" w:fill="auto"/>
        </w:rPr>
        <w:t>tenderer</w:t>
      </w:r>
    </w:p>
    <w:p w14:paraId="7CB21CC8">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响应招标、参加投标竞争的法人或者其他组织。</w:t>
      </w:r>
    </w:p>
    <w:p w14:paraId="05BF545E">
      <w:pPr>
        <w:topLinePunct/>
        <w:spacing w:line="326" w:lineRule="exact"/>
        <w:ind w:firstLine="420"/>
        <w:rPr>
          <w:snapToGrid w:val="0"/>
          <w:color w:val="auto"/>
          <w:szCs w:val="21"/>
          <w:highlight w:val="none"/>
          <w:shd w:val="clear" w:color="auto" w:fill="auto"/>
        </w:rPr>
      </w:pPr>
      <w:r>
        <w:rPr>
          <w:snapToGrid w:val="0"/>
          <w:color w:val="auto"/>
          <w:szCs w:val="21"/>
          <w:highlight w:val="none"/>
          <w:shd w:val="clear" w:color="auto" w:fill="auto"/>
        </w:rPr>
        <w:t>3.3</w:t>
      </w:r>
      <w:r>
        <w:rPr>
          <w:rFonts w:hint="eastAsia"/>
          <w:snapToGrid w:val="0"/>
          <w:color w:val="auto"/>
          <w:szCs w:val="21"/>
          <w:highlight w:val="none"/>
          <w:shd w:val="clear" w:color="auto" w:fill="auto"/>
        </w:rPr>
        <w:t>　</w:t>
      </w:r>
    </w:p>
    <w:p w14:paraId="11CCF668">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卖方（供方）</w:t>
      </w:r>
      <w:r>
        <w:rPr>
          <w:snapToGrid w:val="0"/>
          <w:color w:val="auto"/>
          <w:szCs w:val="21"/>
          <w:highlight w:val="none"/>
          <w:shd w:val="clear" w:color="auto" w:fill="auto"/>
        </w:rPr>
        <w:t xml:space="preserve"> seller (supplier)</w:t>
      </w:r>
    </w:p>
    <w:p w14:paraId="6640DFBE">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提供本部分货物和技术服务的法人或其他组织，包括其法定的承继者。</w:t>
      </w:r>
    </w:p>
    <w:p w14:paraId="78759E14">
      <w:pPr>
        <w:topLinePunct/>
        <w:spacing w:line="326" w:lineRule="exact"/>
        <w:ind w:firstLine="420"/>
        <w:rPr>
          <w:snapToGrid w:val="0"/>
          <w:color w:val="auto"/>
          <w:szCs w:val="21"/>
          <w:highlight w:val="none"/>
          <w:shd w:val="clear" w:color="auto" w:fill="auto"/>
        </w:rPr>
      </w:pPr>
      <w:r>
        <w:rPr>
          <w:snapToGrid w:val="0"/>
          <w:color w:val="auto"/>
          <w:szCs w:val="21"/>
          <w:highlight w:val="none"/>
          <w:shd w:val="clear" w:color="auto" w:fill="auto"/>
        </w:rPr>
        <w:t>3.4</w:t>
      </w:r>
    </w:p>
    <w:p w14:paraId="268364CF">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买方（需方）</w:t>
      </w:r>
      <w:r>
        <w:rPr>
          <w:snapToGrid w:val="0"/>
          <w:color w:val="auto"/>
          <w:szCs w:val="21"/>
          <w:highlight w:val="none"/>
          <w:shd w:val="clear" w:color="auto" w:fill="auto"/>
        </w:rPr>
        <w:t xml:space="preserve"> buyer (purchaser)</w:t>
      </w:r>
    </w:p>
    <w:p w14:paraId="1F66500F">
      <w:pPr>
        <w:topLinePunct/>
        <w:spacing w:line="326"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购买本部分货物和技术服务的法人或其他组织，包括其法定的承继者和经许可的受让人。</w:t>
      </w:r>
    </w:p>
    <w:p w14:paraId="4F760A31">
      <w:pPr>
        <w:pStyle w:val="61"/>
        <w:outlineLvl w:val="0"/>
        <w:rPr>
          <w:color w:val="auto"/>
          <w:highlight w:val="none"/>
          <w:shd w:val="clear" w:color="auto" w:fill="auto"/>
        </w:rPr>
      </w:pPr>
      <w:bookmarkStart w:id="6" w:name="_Toc438720044"/>
      <w:r>
        <w:rPr>
          <w:rFonts w:hint="eastAsia"/>
          <w:color w:val="auto"/>
          <w:highlight w:val="none"/>
          <w:shd w:val="clear" w:color="auto" w:fill="auto"/>
        </w:rPr>
        <w:t>4　总则</w:t>
      </w:r>
      <w:bookmarkEnd w:id="6"/>
    </w:p>
    <w:p w14:paraId="1FCB452D">
      <w:pPr>
        <w:pStyle w:val="60"/>
        <w:rPr>
          <w:color w:val="auto"/>
          <w:highlight w:val="none"/>
          <w:shd w:val="clear" w:color="auto" w:fill="auto"/>
        </w:rPr>
      </w:pPr>
      <w:r>
        <w:rPr>
          <w:rFonts w:hint="eastAsia"/>
          <w:color w:val="auto"/>
          <w:highlight w:val="none"/>
          <w:shd w:val="clear" w:color="auto" w:fill="auto"/>
        </w:rPr>
        <w:t>4</w:t>
      </w:r>
      <w:r>
        <w:rPr>
          <w:rFonts w:hint="eastAsia"/>
          <w:color w:val="auto"/>
          <w:spacing w:val="20"/>
          <w:highlight w:val="none"/>
          <w:shd w:val="clear" w:color="auto" w:fill="auto"/>
        </w:rPr>
        <w:t>.</w:t>
      </w:r>
      <w:r>
        <w:rPr>
          <w:rFonts w:hint="eastAsia"/>
          <w:color w:val="auto"/>
          <w:highlight w:val="none"/>
          <w:shd w:val="clear" w:color="auto" w:fill="auto"/>
        </w:rPr>
        <w:t>1　一般规定</w:t>
      </w:r>
    </w:p>
    <w:p w14:paraId="762A61EE">
      <w:pPr>
        <w:topLinePunct/>
        <w:spacing w:line="312" w:lineRule="exact"/>
        <w:rPr>
          <w:bCs/>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　</w:t>
      </w:r>
      <w:r>
        <w:rPr>
          <w:rFonts w:hint="eastAsia"/>
          <w:bCs/>
          <w:color w:val="auto"/>
          <w:szCs w:val="21"/>
          <w:highlight w:val="none"/>
          <w:shd w:val="clear" w:color="auto" w:fill="auto"/>
        </w:rPr>
        <w:t>投标人应具备招标公告所要求的资质，具体资质要求详见招标文件的商务部分。</w:t>
      </w:r>
    </w:p>
    <w:p w14:paraId="4D63D569">
      <w:pPr>
        <w:topLinePunct/>
        <w:spacing w:line="312" w:lineRule="exact"/>
        <w:rPr>
          <w:bCs/>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2　</w:t>
      </w:r>
      <w:r>
        <w:rPr>
          <w:rFonts w:hint="eastAsia"/>
          <w:bCs/>
          <w:color w:val="auto"/>
          <w:szCs w:val="21"/>
          <w:highlight w:val="none"/>
          <w:shd w:val="clear" w:color="auto" w:fill="auto"/>
        </w:rPr>
        <w:t>投标人应仔细阅读本标准（包括本标准通用和相关专用技术规范）的全部条款。</w:t>
      </w:r>
    </w:p>
    <w:p w14:paraId="63338FF3">
      <w:pPr>
        <w:topLinePunct/>
        <w:spacing w:line="312" w:lineRule="exact"/>
        <w:rPr>
          <w:color w:val="auto"/>
          <w:spacing w:val="2"/>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color w:val="auto"/>
          <w:szCs w:val="21"/>
          <w:highlight w:val="none"/>
          <w:shd w:val="clear" w:color="auto" w:fill="auto"/>
        </w:rPr>
        <w:t>3　</w:t>
      </w:r>
      <w:r>
        <w:rPr>
          <w:rFonts w:hint="eastAsia"/>
          <w:color w:val="auto"/>
          <w:spacing w:val="2"/>
          <w:szCs w:val="21"/>
          <w:highlight w:val="none"/>
          <w:shd w:val="clear" w:color="auto" w:fill="auto"/>
        </w:rPr>
        <w:t>本部分提出的是最低限度的技术要求，并未对一切技术细节作出规定，也未充分引述有关标准的条文，投标人应提供符合本部分引用标准的最新版本标准和本部分技术要求的全新产品。</w:t>
      </w:r>
    </w:p>
    <w:p w14:paraId="7E6FB6CC">
      <w:pPr>
        <w:topLinePunct/>
        <w:spacing w:line="312" w:lineRule="exact"/>
        <w:rPr>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color w:val="auto"/>
          <w:szCs w:val="21"/>
          <w:highlight w:val="none"/>
          <w:shd w:val="clear" w:color="auto" w:fill="auto"/>
        </w:rPr>
        <w:t>4　</w:t>
      </w:r>
      <w:r>
        <w:rPr>
          <w:rFonts w:hint="eastAsia"/>
          <w:color w:val="auto"/>
          <w:szCs w:val="21"/>
          <w:highlight w:val="none"/>
          <w:shd w:val="clear" w:color="auto" w:fill="auto"/>
        </w:rPr>
        <w:t>如果投标人没有以书面形式对本部分的条文提出差异，则意味着投标人提供的设备完全符合本部分的要求。如有与本部分要求不一致的地方，应逐项在技术差异表中列出。</w:t>
      </w:r>
    </w:p>
    <w:p w14:paraId="317354F0">
      <w:pPr>
        <w:topLinePunct/>
        <w:spacing w:line="312" w:lineRule="exact"/>
        <w:rPr>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color w:val="auto"/>
          <w:szCs w:val="21"/>
          <w:highlight w:val="none"/>
          <w:shd w:val="clear" w:color="auto" w:fill="auto"/>
        </w:rPr>
        <w:t>5　</w:t>
      </w:r>
      <w:r>
        <w:rPr>
          <w:rFonts w:hint="eastAsia"/>
          <w:color w:val="auto"/>
          <w:szCs w:val="21"/>
          <w:highlight w:val="none"/>
          <w:shd w:val="clear" w:color="auto" w:fill="auto"/>
        </w:rPr>
        <w:t>本部分将作为订货合同的附件，与合同具有同等的法律效力。本部分未尽事宜，由合同签约双方在合同谈判时协商确定。</w:t>
      </w:r>
    </w:p>
    <w:p w14:paraId="47661C46">
      <w:pPr>
        <w:topLinePunct/>
        <w:spacing w:line="312" w:lineRule="exact"/>
        <w:rPr>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color w:val="auto"/>
          <w:szCs w:val="21"/>
          <w:highlight w:val="none"/>
          <w:shd w:val="clear" w:color="auto" w:fill="auto"/>
        </w:rPr>
        <w:t>6　</w:t>
      </w:r>
      <w:r>
        <w:rPr>
          <w:rFonts w:hint="eastAsia"/>
          <w:color w:val="auto"/>
          <w:szCs w:val="21"/>
          <w:highlight w:val="none"/>
          <w:shd w:val="clear" w:color="auto" w:fill="auto"/>
        </w:rPr>
        <w:t>本部分中涉及有关商务方面的内容，如与招标文件的商务部分有矛盾时，以商务部分为准。</w:t>
      </w:r>
    </w:p>
    <w:p w14:paraId="43BD8E46">
      <w:pPr>
        <w:topLinePunct/>
        <w:spacing w:line="312" w:lineRule="exact"/>
        <w:rPr>
          <w:bCs/>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7　</w:t>
      </w:r>
      <w:r>
        <w:rPr>
          <w:rFonts w:hint="eastAsia"/>
          <w:color w:val="auto"/>
          <w:szCs w:val="21"/>
          <w:highlight w:val="none"/>
          <w:shd w:val="clear" w:color="auto" w:fill="auto"/>
        </w:rPr>
        <w:t>本部分中各条款如与专用部分有冲突，以专用部分为准。</w:t>
      </w:r>
    </w:p>
    <w:p w14:paraId="330C0C8A">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2　投标人应提供的资格文件</w:t>
      </w:r>
    </w:p>
    <w:p w14:paraId="0259F65D">
      <w:pPr>
        <w:topLinePunct/>
        <w:spacing w:line="312" w:lineRule="exact"/>
        <w:ind w:firstLine="420"/>
        <w:rPr>
          <w:snapToGrid w:val="0"/>
          <w:color w:val="auto"/>
          <w:szCs w:val="21"/>
          <w:highlight w:val="none"/>
          <w:shd w:val="clear" w:color="auto" w:fill="auto"/>
        </w:rPr>
      </w:pPr>
      <w:r>
        <w:rPr>
          <w:rFonts w:hint="eastAsia"/>
          <w:snapToGrid w:val="0"/>
          <w:color w:val="auto"/>
          <w:szCs w:val="21"/>
          <w:highlight w:val="none"/>
          <w:shd w:val="clear" w:color="auto" w:fill="auto"/>
        </w:rPr>
        <w:t>投标人应提供下列资格文件：</w:t>
      </w:r>
    </w:p>
    <w:p w14:paraId="390F397B">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a</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投标人或制造商投标产品的销售记录及相应的最终用户的使用情况证明。</w:t>
      </w:r>
    </w:p>
    <w:p w14:paraId="3660714C">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b</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投标人或制造商应提供权威机关颁发的</w:t>
      </w:r>
      <w:r>
        <w:rPr>
          <w:snapToGrid w:val="0"/>
          <w:color w:val="auto"/>
          <w:szCs w:val="21"/>
          <w:highlight w:val="none"/>
          <w:shd w:val="clear" w:color="auto" w:fill="auto"/>
        </w:rPr>
        <w:t>ISO9000</w:t>
      </w:r>
      <w:r>
        <w:rPr>
          <w:rFonts w:hint="eastAsia"/>
          <w:snapToGrid w:val="0"/>
          <w:color w:val="auto"/>
          <w:szCs w:val="21"/>
          <w:highlight w:val="none"/>
          <w:shd w:val="clear" w:color="auto" w:fill="auto"/>
        </w:rPr>
        <w:t>系列的认证书。</w:t>
      </w:r>
    </w:p>
    <w:p w14:paraId="7444AEC6">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c</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投标人或制造商应提供履行合同所需的技术和主要设备等生产能力的文件资料。</w:t>
      </w:r>
    </w:p>
    <w:p w14:paraId="25FC1239">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d</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投标人应提供有能力履行合同设备维护保养、修理及其他服务义务的文件。</w:t>
      </w:r>
    </w:p>
    <w:p w14:paraId="6B8D1884">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e</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投标人或制造商应提供投标产品全部有效期内合格的型式试验报告和</w:t>
      </w:r>
      <w:r>
        <w:rPr>
          <w:snapToGrid w:val="0"/>
          <w:color w:val="auto"/>
          <w:szCs w:val="21"/>
          <w:highlight w:val="none"/>
          <w:shd w:val="clear" w:color="auto" w:fill="auto"/>
        </w:rPr>
        <w:t>CCC</w:t>
      </w:r>
      <w:r>
        <w:rPr>
          <w:rFonts w:hint="eastAsia"/>
          <w:snapToGrid w:val="0"/>
          <w:color w:val="auto"/>
          <w:szCs w:val="21"/>
          <w:highlight w:val="none"/>
          <w:shd w:val="clear" w:color="auto" w:fill="auto"/>
        </w:rPr>
        <w:t>产品认证证书。</w:t>
      </w:r>
    </w:p>
    <w:p w14:paraId="25B0C48E">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f</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投标人或制造商应提供一份详细的投标产品中重要外购或配套部件供应商清单及检验报告。</w:t>
      </w:r>
    </w:p>
    <w:p w14:paraId="60015D7F">
      <w:pPr>
        <w:pStyle w:val="60"/>
        <w:rPr>
          <w:color w:val="auto"/>
          <w:highlight w:val="none"/>
          <w:shd w:val="clear" w:color="auto" w:fill="auto"/>
        </w:rPr>
      </w:pPr>
      <w:r>
        <w:rPr>
          <w:rFonts w:hint="eastAsia"/>
          <w:color w:val="auto"/>
          <w:highlight w:val="none"/>
          <w:shd w:val="clear" w:color="auto" w:fill="auto"/>
        </w:rPr>
        <w:t>4</w:t>
      </w:r>
      <w:r>
        <w:rPr>
          <w:rFonts w:hint="eastAsia"/>
          <w:color w:val="auto"/>
          <w:spacing w:val="20"/>
          <w:highlight w:val="none"/>
          <w:shd w:val="clear" w:color="auto" w:fill="auto"/>
        </w:rPr>
        <w:t>.</w:t>
      </w:r>
      <w:r>
        <w:rPr>
          <w:rFonts w:hint="eastAsia"/>
          <w:color w:val="auto"/>
          <w:highlight w:val="none"/>
          <w:shd w:val="clear" w:color="auto" w:fill="auto"/>
        </w:rPr>
        <w:t>3　适用范围</w:t>
      </w:r>
    </w:p>
    <w:p w14:paraId="6203836D">
      <w:pPr>
        <w:topLinePunct/>
        <w:spacing w:line="312" w:lineRule="exact"/>
        <w:rPr>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3</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1　</w:t>
      </w:r>
      <w:r>
        <w:rPr>
          <w:rFonts w:hint="eastAsia"/>
          <w:color w:val="auto"/>
          <w:szCs w:val="21"/>
          <w:highlight w:val="none"/>
          <w:shd w:val="clear" w:color="auto" w:fill="auto"/>
        </w:rPr>
        <w:t>本部分的适用范围仅限于本工程的投标产品。内容包括设计、结构、性能、安装、试验、调试及现场服务和技术服务。</w:t>
      </w:r>
    </w:p>
    <w:p w14:paraId="2F958AB7">
      <w:pPr>
        <w:topLinePunct/>
        <w:spacing w:line="312" w:lineRule="exact"/>
        <w:rPr>
          <w:snapToGrid w:val="0"/>
          <w:color w:val="auto"/>
          <w:szCs w:val="21"/>
          <w:highlight w:val="none"/>
          <w:shd w:val="clear" w:color="auto" w:fill="auto"/>
        </w:rPr>
      </w:pPr>
      <w:r>
        <w:rPr>
          <w:rFonts w:hint="eastAsia" w:ascii="EU-F1"/>
          <w:bCs/>
          <w:color w:val="auto"/>
          <w:szCs w:val="21"/>
          <w:highlight w:val="none"/>
          <w:shd w:val="clear" w:color="auto" w:fill="auto"/>
        </w:rPr>
        <w:t>4</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3</w:t>
      </w:r>
      <w:r>
        <w:rPr>
          <w:rFonts w:hint="eastAsia" w:ascii="EU-F1"/>
          <w:bCs/>
          <w:color w:val="auto"/>
          <w:spacing w:val="20"/>
          <w:szCs w:val="21"/>
          <w:highlight w:val="none"/>
          <w:shd w:val="clear" w:color="auto" w:fill="auto"/>
        </w:rPr>
        <w:t>.</w:t>
      </w:r>
      <w:r>
        <w:rPr>
          <w:rFonts w:hint="eastAsia" w:ascii="EU-F1"/>
          <w:bCs/>
          <w:color w:val="auto"/>
          <w:szCs w:val="21"/>
          <w:highlight w:val="none"/>
          <w:shd w:val="clear" w:color="auto" w:fill="auto"/>
        </w:rPr>
        <w:t>2　</w:t>
      </w:r>
      <w:r>
        <w:rPr>
          <w:rFonts w:hint="eastAsia"/>
          <w:color w:val="auto"/>
          <w:szCs w:val="21"/>
          <w:highlight w:val="none"/>
          <w:shd w:val="clear" w:color="auto" w:fill="auto"/>
        </w:rPr>
        <w:t>中标人不应晚于签约后</w:t>
      </w:r>
      <w:r>
        <w:rPr>
          <w:rFonts w:hint="eastAsia"/>
          <w:color w:val="auto"/>
          <w:szCs w:val="21"/>
          <w:highlight w:val="none"/>
          <w:u w:val="single"/>
          <w:shd w:val="clear" w:color="auto" w:fill="auto"/>
        </w:rPr>
        <w:t>3　</w:t>
      </w:r>
      <w:r>
        <w:rPr>
          <w:rFonts w:hint="eastAsia"/>
          <w:color w:val="auto"/>
          <w:szCs w:val="21"/>
          <w:highlight w:val="none"/>
          <w:shd w:val="clear" w:color="auto" w:fill="auto"/>
        </w:rPr>
        <w:t>天内，向招标人提出一个详尽的生产进度计划表，包括产品设计、材料采购、产品制造、厂内测试以及运输等详情，以确定每部分工作及其进度。</w:t>
      </w:r>
      <w:r>
        <w:rPr>
          <w:rFonts w:hint="eastAsia"/>
          <w:snapToGrid w:val="0"/>
          <w:color w:val="auto"/>
          <w:szCs w:val="21"/>
          <w:highlight w:val="none"/>
          <w:shd w:val="clear" w:color="auto" w:fill="auto"/>
        </w:rPr>
        <w:t>生产进度计划见表</w:t>
      </w:r>
      <w:r>
        <w:rPr>
          <w:snapToGrid w:val="0"/>
          <w:color w:val="auto"/>
          <w:szCs w:val="21"/>
          <w:highlight w:val="none"/>
          <w:shd w:val="clear" w:color="auto" w:fill="auto"/>
        </w:rPr>
        <w:t>1</w:t>
      </w:r>
      <w:r>
        <w:rPr>
          <w:rFonts w:hint="eastAsia"/>
          <w:snapToGrid w:val="0"/>
          <w:color w:val="auto"/>
          <w:szCs w:val="21"/>
          <w:highlight w:val="none"/>
          <w:shd w:val="clear" w:color="auto" w:fill="auto"/>
        </w:rPr>
        <w:t>。</w:t>
      </w:r>
    </w:p>
    <w:p w14:paraId="34221C2C">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　</w:t>
      </w:r>
      <w:r>
        <w:rPr>
          <w:rFonts w:hint="eastAsia"/>
          <w:snapToGrid w:val="0"/>
          <w:color w:val="auto"/>
          <w:szCs w:val="21"/>
          <w:highlight w:val="none"/>
          <w:shd w:val="clear" w:color="auto" w:fill="auto"/>
        </w:rPr>
        <w:t>工作进度如有延误，投标人应及时向招标人说明原因、后果及采取的补救措施等。</w:t>
      </w:r>
    </w:p>
    <w:p w14:paraId="196CE6CE">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4　对试验报告的要求</w:t>
      </w:r>
    </w:p>
    <w:p w14:paraId="197EF812">
      <w:pPr>
        <w:topLinePunct/>
        <w:spacing w:line="312" w:lineRule="exact"/>
        <w:ind w:firstLine="420"/>
        <w:rPr>
          <w:color w:val="auto"/>
          <w:szCs w:val="21"/>
          <w:highlight w:val="none"/>
          <w:shd w:val="clear" w:color="auto" w:fill="auto"/>
        </w:rPr>
      </w:pPr>
      <w:r>
        <w:rPr>
          <w:rFonts w:hint="eastAsia"/>
          <w:color w:val="auto"/>
          <w:szCs w:val="21"/>
          <w:highlight w:val="none"/>
          <w:shd w:val="clear" w:color="auto" w:fill="auto"/>
        </w:rPr>
        <w:t>投标人应提供具体投标系列所对应的资质文件：</w:t>
      </w:r>
    </w:p>
    <w:p w14:paraId="4F4057EF">
      <w:pPr>
        <w:ind w:left="840" w:hanging="420"/>
        <w:rPr>
          <w:color w:val="auto"/>
          <w:highlight w:val="none"/>
          <w:shd w:val="clear" w:color="auto" w:fill="auto"/>
        </w:rPr>
      </w:pPr>
      <w:r>
        <w:rPr>
          <w:color w:val="auto"/>
          <w:highlight w:val="none"/>
          <w:shd w:val="clear" w:color="auto" w:fill="auto"/>
        </w:rPr>
        <w:t>a</w:t>
      </w:r>
      <w:r>
        <w:rPr>
          <w:rFonts w:hint="eastAsia"/>
          <w:color w:val="auto"/>
          <w:highlight w:val="none"/>
          <w:shd w:val="clear" w:color="auto" w:fill="auto"/>
        </w:rPr>
        <w:t>）</w:t>
      </w:r>
      <w:r>
        <w:rPr>
          <w:rFonts w:hint="eastAsia"/>
          <w:color w:val="auto"/>
          <w:highlight w:val="none"/>
          <w:shd w:val="clear" w:color="auto" w:fill="auto"/>
          <w:lang w:val="en-US" w:eastAsia="zh-CN"/>
        </w:rPr>
        <w:t xml:space="preserve"> </w:t>
      </w:r>
      <w:r>
        <w:rPr>
          <w:rFonts w:hint="eastAsia"/>
          <w:snapToGrid w:val="0"/>
          <w:color w:val="auto"/>
          <w:szCs w:val="21"/>
          <w:highlight w:val="none"/>
          <w:shd w:val="clear" w:color="auto" w:fill="auto"/>
          <w:lang w:val="en-US" w:eastAsia="zh-CN"/>
        </w:rPr>
        <w:t>一体化电源系统</w:t>
      </w:r>
      <w:r>
        <w:rPr>
          <w:rFonts w:hint="eastAsia"/>
          <w:color w:val="auto"/>
          <w:highlight w:val="none"/>
          <w:shd w:val="clear" w:color="auto" w:fill="auto"/>
        </w:rPr>
        <w:t>的3C证书、型式试验报告和出厂试验报告。</w:t>
      </w:r>
    </w:p>
    <w:p w14:paraId="5596AE9D">
      <w:pPr>
        <w:ind w:left="840" w:hanging="420"/>
        <w:rPr>
          <w:color w:val="auto"/>
          <w:highlight w:val="none"/>
          <w:shd w:val="clear" w:color="auto" w:fill="auto"/>
        </w:rPr>
      </w:pPr>
      <w:r>
        <w:rPr>
          <w:color w:val="auto"/>
          <w:highlight w:val="none"/>
          <w:shd w:val="clear" w:color="auto" w:fill="auto"/>
        </w:rPr>
        <w:t>b</w:t>
      </w:r>
      <w:r>
        <w:rPr>
          <w:rFonts w:hint="eastAsia"/>
          <w:color w:val="auto"/>
          <w:highlight w:val="none"/>
          <w:shd w:val="clear" w:color="auto" w:fill="auto"/>
        </w:rPr>
        <w:t>）</w:t>
      </w:r>
      <w:r>
        <w:rPr>
          <w:color w:val="auto"/>
          <w:highlight w:val="none"/>
          <w:shd w:val="clear" w:color="auto" w:fill="auto"/>
        </w:rPr>
        <w:tab/>
      </w:r>
      <w:r>
        <w:rPr>
          <w:rFonts w:hint="eastAsia"/>
          <w:snapToGrid w:val="0"/>
          <w:color w:val="auto"/>
          <w:szCs w:val="21"/>
          <w:highlight w:val="none"/>
          <w:shd w:val="clear" w:color="auto" w:fill="auto"/>
          <w:lang w:val="en-US" w:eastAsia="zh-CN"/>
        </w:rPr>
        <w:t>一体化电源系统</w:t>
      </w:r>
      <w:r>
        <w:rPr>
          <w:rFonts w:hint="eastAsia"/>
          <w:color w:val="auto"/>
          <w:highlight w:val="none"/>
          <w:shd w:val="clear" w:color="auto" w:fill="auto"/>
          <w:lang w:eastAsia="zh-CN"/>
        </w:rPr>
        <w:t>的</w:t>
      </w:r>
      <w:r>
        <w:rPr>
          <w:rFonts w:hint="eastAsia"/>
          <w:color w:val="auto"/>
          <w:highlight w:val="none"/>
          <w:shd w:val="clear" w:color="auto" w:fill="auto"/>
        </w:rPr>
        <w:t>主要元件的型式试验报告和出厂试验报告。</w:t>
      </w:r>
    </w:p>
    <w:p w14:paraId="08B29697">
      <w:pPr>
        <w:ind w:left="840" w:hanging="420"/>
        <w:rPr>
          <w:color w:val="auto"/>
          <w:highlight w:val="none"/>
          <w:shd w:val="clear" w:color="auto" w:fill="auto"/>
        </w:rPr>
      </w:pPr>
      <w:r>
        <w:rPr>
          <w:color w:val="auto"/>
          <w:highlight w:val="none"/>
          <w:shd w:val="clear" w:color="auto" w:fill="auto"/>
        </w:rPr>
        <w:t>c</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当产品的设计、工艺、生产条件或使用的材料及主要元件发生重大改变而影响到产品性能时，应做相应的型式试验并提供试验报告。</w:t>
      </w:r>
    </w:p>
    <w:p w14:paraId="78E11DE7">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5　标准</w:t>
      </w:r>
    </w:p>
    <w:p w14:paraId="6BE12ED3">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5</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合同中所有设备、备品备件，包括投标人从第三方获得的所有附件和设备，除本部分中规定的技术参数和要求外，其余均应遵照最新版本的电力行业标准（</w:t>
      </w:r>
      <w:r>
        <w:rPr>
          <w:snapToGrid w:val="0"/>
          <w:color w:val="auto"/>
          <w:szCs w:val="21"/>
          <w:highlight w:val="none"/>
          <w:shd w:val="clear" w:color="auto" w:fill="auto"/>
        </w:rPr>
        <w:t>DL</w:t>
      </w:r>
      <w:r>
        <w:rPr>
          <w:rFonts w:hint="eastAsia"/>
          <w:snapToGrid w:val="0"/>
          <w:color w:val="auto"/>
          <w:szCs w:val="21"/>
          <w:highlight w:val="none"/>
          <w:shd w:val="clear" w:color="auto" w:fill="auto"/>
        </w:rPr>
        <w:t>）、国家标准（</w:t>
      </w:r>
      <w:r>
        <w:rPr>
          <w:snapToGrid w:val="0"/>
          <w:color w:val="auto"/>
          <w:szCs w:val="21"/>
          <w:highlight w:val="none"/>
          <w:shd w:val="clear" w:color="auto" w:fill="auto"/>
        </w:rPr>
        <w:t>GB</w:t>
      </w:r>
      <w:r>
        <w:rPr>
          <w:rFonts w:hint="eastAsia"/>
          <w:snapToGrid w:val="0"/>
          <w:color w:val="auto"/>
          <w:szCs w:val="21"/>
          <w:highlight w:val="none"/>
          <w:shd w:val="clear" w:color="auto" w:fill="auto"/>
        </w:rPr>
        <w:t>）和</w:t>
      </w:r>
      <w:r>
        <w:rPr>
          <w:snapToGrid w:val="0"/>
          <w:color w:val="auto"/>
          <w:szCs w:val="21"/>
          <w:highlight w:val="none"/>
          <w:shd w:val="clear" w:color="auto" w:fill="auto"/>
        </w:rPr>
        <w:t>IEC</w:t>
      </w:r>
      <w:r>
        <w:rPr>
          <w:rFonts w:hint="eastAsia"/>
          <w:snapToGrid w:val="0"/>
          <w:color w:val="auto"/>
          <w:szCs w:val="21"/>
          <w:highlight w:val="none"/>
          <w:shd w:val="clear" w:color="auto" w:fill="auto"/>
        </w:rPr>
        <w:t>标准及国际单位制（</w:t>
      </w:r>
      <w:r>
        <w:rPr>
          <w:snapToGrid w:val="0"/>
          <w:color w:val="auto"/>
          <w:szCs w:val="21"/>
          <w:highlight w:val="none"/>
          <w:shd w:val="clear" w:color="auto" w:fill="auto"/>
        </w:rPr>
        <w:t>SI</w:t>
      </w:r>
      <w:r>
        <w:rPr>
          <w:rFonts w:hint="eastAsia"/>
          <w:snapToGrid w:val="0"/>
          <w:color w:val="auto"/>
          <w:szCs w:val="21"/>
          <w:highlight w:val="none"/>
          <w:shd w:val="clear" w:color="auto" w:fill="auto"/>
        </w:rPr>
        <w:t>），这是对设备的最低要求。投标人如果采用自己的标准或规范，应向招标人提供中文和英文（若有）复印件并经招标人同意后方可采用，但不能低于</w:t>
      </w:r>
      <w:r>
        <w:rPr>
          <w:snapToGrid w:val="0"/>
          <w:color w:val="auto"/>
          <w:szCs w:val="21"/>
          <w:highlight w:val="none"/>
          <w:shd w:val="clear" w:color="auto" w:fill="auto"/>
        </w:rPr>
        <w:t>DL</w:t>
      </w:r>
      <w:r>
        <w:rPr>
          <w:rFonts w:hint="eastAsia"/>
          <w:snapToGrid w:val="0"/>
          <w:color w:val="auto"/>
          <w:szCs w:val="21"/>
          <w:highlight w:val="none"/>
          <w:shd w:val="clear" w:color="auto" w:fill="auto"/>
        </w:rPr>
        <w:t>、</w:t>
      </w:r>
      <w:r>
        <w:rPr>
          <w:snapToGrid w:val="0"/>
          <w:color w:val="auto"/>
          <w:szCs w:val="21"/>
          <w:highlight w:val="none"/>
          <w:shd w:val="clear" w:color="auto" w:fill="auto"/>
        </w:rPr>
        <w:t>GB</w:t>
      </w:r>
      <w:r>
        <w:rPr>
          <w:rFonts w:hint="eastAsia"/>
          <w:snapToGrid w:val="0"/>
          <w:color w:val="auto"/>
          <w:szCs w:val="21"/>
          <w:highlight w:val="none"/>
          <w:shd w:val="clear" w:color="auto" w:fill="auto"/>
        </w:rPr>
        <w:t>和</w:t>
      </w:r>
      <w:r>
        <w:rPr>
          <w:snapToGrid w:val="0"/>
          <w:color w:val="auto"/>
          <w:szCs w:val="21"/>
          <w:highlight w:val="none"/>
          <w:shd w:val="clear" w:color="auto" w:fill="auto"/>
        </w:rPr>
        <w:t>IEC</w:t>
      </w:r>
      <w:r>
        <w:rPr>
          <w:rFonts w:hint="eastAsia"/>
          <w:snapToGrid w:val="0"/>
          <w:color w:val="auto"/>
          <w:szCs w:val="21"/>
          <w:highlight w:val="none"/>
          <w:shd w:val="clear" w:color="auto" w:fill="auto"/>
        </w:rPr>
        <w:t>的有关规定。</w:t>
      </w:r>
    </w:p>
    <w:p w14:paraId="04DBE979">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5</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szCs w:val="21"/>
          <w:highlight w:val="none"/>
          <w:shd w:val="clear" w:color="auto" w:fill="auto"/>
        </w:rPr>
        <w:t>所有螺栓、双头螺栓、螺纹、管螺纹、螺栓夹及螺母均应遵守国际标准化组织（</w:t>
      </w:r>
      <w:r>
        <w:rPr>
          <w:snapToGrid w:val="0"/>
          <w:color w:val="auto"/>
          <w:szCs w:val="21"/>
          <w:highlight w:val="none"/>
          <w:shd w:val="clear" w:color="auto" w:fill="auto"/>
        </w:rPr>
        <w:t>ISO</w:t>
      </w:r>
      <w:r>
        <w:rPr>
          <w:rFonts w:hint="eastAsia"/>
          <w:snapToGrid w:val="0"/>
          <w:color w:val="auto"/>
          <w:szCs w:val="21"/>
          <w:highlight w:val="none"/>
          <w:shd w:val="clear" w:color="auto" w:fill="auto"/>
        </w:rPr>
        <w:t>）和国际单位制（</w:t>
      </w:r>
      <w:r>
        <w:rPr>
          <w:snapToGrid w:val="0"/>
          <w:color w:val="auto"/>
          <w:szCs w:val="21"/>
          <w:highlight w:val="none"/>
          <w:shd w:val="clear" w:color="auto" w:fill="auto"/>
        </w:rPr>
        <w:t>SI</w:t>
      </w:r>
      <w:r>
        <w:rPr>
          <w:rFonts w:hint="eastAsia"/>
          <w:snapToGrid w:val="0"/>
          <w:color w:val="auto"/>
          <w:szCs w:val="21"/>
          <w:highlight w:val="none"/>
          <w:shd w:val="clear" w:color="auto" w:fill="auto"/>
        </w:rPr>
        <w:t>）的标准。</w:t>
      </w:r>
    </w:p>
    <w:p w14:paraId="223F1734">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6　投标人应提交的技术参数和信息</w:t>
      </w:r>
    </w:p>
    <w:p w14:paraId="55096721">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a</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技术参数特性表、技术偏差表及相关技术资料。</w:t>
      </w:r>
    </w:p>
    <w:p w14:paraId="59A3E2E8">
      <w:pPr>
        <w:topLinePunct/>
        <w:spacing w:line="312" w:lineRule="exact"/>
        <w:ind w:left="840" w:hanging="420"/>
        <w:rPr>
          <w:snapToGrid w:val="0"/>
          <w:color w:val="auto"/>
          <w:szCs w:val="21"/>
          <w:highlight w:val="none"/>
          <w:shd w:val="clear" w:color="auto" w:fill="auto"/>
        </w:rPr>
      </w:pPr>
      <w:r>
        <w:rPr>
          <w:snapToGrid w:val="0"/>
          <w:color w:val="auto"/>
          <w:szCs w:val="21"/>
          <w:highlight w:val="none"/>
          <w:shd w:val="clear" w:color="auto" w:fill="auto"/>
        </w:rPr>
        <w:t>b</w:t>
      </w:r>
      <w:r>
        <w:rPr>
          <w:rFonts w:hint="eastAsia"/>
          <w:snapToGrid w:val="0"/>
          <w:color w:val="auto"/>
          <w:szCs w:val="21"/>
          <w:highlight w:val="none"/>
          <w:shd w:val="clear" w:color="auto" w:fill="auto"/>
        </w:rPr>
        <w:t>）</w:t>
      </w:r>
      <w:r>
        <w:rPr>
          <w:snapToGrid w:val="0"/>
          <w:color w:val="auto"/>
          <w:szCs w:val="21"/>
          <w:highlight w:val="none"/>
          <w:shd w:val="clear" w:color="auto" w:fill="auto"/>
        </w:rPr>
        <w:tab/>
      </w:r>
      <w:r>
        <w:rPr>
          <w:rFonts w:hint="eastAsia"/>
          <w:snapToGrid w:val="0"/>
          <w:color w:val="auto"/>
          <w:szCs w:val="21"/>
          <w:highlight w:val="none"/>
          <w:shd w:val="clear" w:color="auto" w:fill="auto"/>
        </w:rPr>
        <w:t>投标产品的特性参数和特点。</w:t>
      </w:r>
    </w:p>
    <w:p w14:paraId="718D512C">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7　备品备件</w:t>
      </w:r>
    </w:p>
    <w:p w14:paraId="5A744621">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投标人应提供必备和推荐的备品备件，并分别列出其单价（商务部分填写，如有）。</w:t>
      </w:r>
    </w:p>
    <w:p w14:paraId="35C3BD76">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szCs w:val="21"/>
          <w:highlight w:val="none"/>
          <w:shd w:val="clear" w:color="auto" w:fill="auto"/>
        </w:rPr>
        <w:t>所有备品备件应为全新产品，与已经安装同型号设备的相应部件能够互换。</w:t>
      </w:r>
    </w:p>
    <w:p w14:paraId="30279388">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　</w:t>
      </w:r>
      <w:r>
        <w:rPr>
          <w:rFonts w:hint="eastAsia"/>
          <w:snapToGrid w:val="0"/>
          <w:color w:val="auto"/>
          <w:szCs w:val="21"/>
          <w:highlight w:val="none"/>
          <w:shd w:val="clear" w:color="auto" w:fill="auto"/>
        </w:rPr>
        <w:t>所有备品备件应单独装箱，包装应能防尘、防潮、防止损坏等，与主设备一并发运，并标注“备品备件”，以区别本体。</w:t>
      </w:r>
    </w:p>
    <w:p w14:paraId="36E82B14">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4　</w:t>
      </w:r>
      <w:r>
        <w:rPr>
          <w:rFonts w:hint="eastAsia"/>
          <w:color w:val="auto"/>
          <w:highlight w:val="none"/>
          <w:shd w:val="clear" w:color="auto" w:fill="auto"/>
        </w:rPr>
        <w:t>配套提供设备支架，供货前同项目单位确认安装方式。</w:t>
      </w:r>
    </w:p>
    <w:p w14:paraId="29A37B84">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8　专用工具与仪器仪表</w:t>
      </w:r>
    </w:p>
    <w:p w14:paraId="1AFA65B8">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8</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投标人应提供必备和推荐的专用工具和仪器仪表，并列出其单价（商务部分填写，如有）。</w:t>
      </w:r>
    </w:p>
    <w:p w14:paraId="4BAB0E69">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8</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szCs w:val="21"/>
          <w:highlight w:val="none"/>
          <w:shd w:val="clear" w:color="auto" w:fill="auto"/>
        </w:rPr>
        <w:t>所有专用工具与仪器仪表应是全新的，并附详细的使用说明资料。</w:t>
      </w:r>
    </w:p>
    <w:p w14:paraId="0378521D">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8</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　</w:t>
      </w:r>
      <w:r>
        <w:rPr>
          <w:rFonts w:hint="eastAsia"/>
          <w:snapToGrid w:val="0"/>
          <w:color w:val="auto"/>
          <w:szCs w:val="21"/>
          <w:highlight w:val="none"/>
          <w:shd w:val="clear" w:color="auto" w:fill="auto"/>
        </w:rPr>
        <w:t>专用工具与仪器仪表应</w:t>
      </w:r>
      <w:r>
        <w:rPr>
          <w:rFonts w:hint="eastAsia"/>
          <w:bCs/>
          <w:color w:val="auto"/>
          <w:szCs w:val="21"/>
          <w:highlight w:val="none"/>
          <w:shd w:val="clear" w:color="auto" w:fill="auto"/>
        </w:rPr>
        <w:t>单独装箱</w:t>
      </w:r>
      <w:r>
        <w:rPr>
          <w:rFonts w:hint="eastAsia"/>
          <w:snapToGrid w:val="0"/>
          <w:color w:val="auto"/>
          <w:szCs w:val="21"/>
          <w:highlight w:val="none"/>
          <w:shd w:val="clear" w:color="auto" w:fill="auto"/>
        </w:rPr>
        <w:t>，注明“专用工具”、“仪器仪表”，并标明防潮、防尘、易碎、向上、勿倒置等字样，同主设备一并发运。</w:t>
      </w:r>
    </w:p>
    <w:p w14:paraId="3E384746">
      <w:pPr>
        <w:pStyle w:val="60"/>
        <w:rPr>
          <w:snapToGrid w:val="0"/>
          <w:color w:val="auto"/>
          <w:highlight w:val="none"/>
          <w:shd w:val="clear" w:color="auto" w:fill="auto"/>
        </w:rPr>
      </w:pPr>
      <w:r>
        <w:rPr>
          <w:rFonts w:hint="eastAsia"/>
          <w:snapToGrid w:val="0"/>
          <w:color w:val="auto"/>
          <w:highlight w:val="none"/>
          <w:shd w:val="clear" w:color="auto" w:fill="auto"/>
        </w:rPr>
        <w:t>4</w:t>
      </w:r>
      <w:r>
        <w:rPr>
          <w:rFonts w:hint="eastAsia"/>
          <w:snapToGrid w:val="0"/>
          <w:color w:val="auto"/>
          <w:spacing w:val="20"/>
          <w:highlight w:val="none"/>
          <w:shd w:val="clear" w:color="auto" w:fill="auto"/>
        </w:rPr>
        <w:t>.</w:t>
      </w:r>
      <w:r>
        <w:rPr>
          <w:rFonts w:hint="eastAsia"/>
          <w:snapToGrid w:val="0"/>
          <w:color w:val="auto"/>
          <w:highlight w:val="none"/>
          <w:shd w:val="clear" w:color="auto" w:fill="auto"/>
        </w:rPr>
        <w:t>9　安装、调试、性能试验、试运行和验收</w:t>
      </w:r>
    </w:p>
    <w:p w14:paraId="3BF8CE23">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9</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合同设备的安装、调试将由招标人根据投标人提供的技术文件和说明书的规定在投标人技术人员指导下进行。</w:t>
      </w:r>
    </w:p>
    <w:p w14:paraId="6D5EF9E6">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9</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szCs w:val="21"/>
          <w:highlight w:val="none"/>
          <w:shd w:val="clear" w:color="auto" w:fill="auto"/>
        </w:rPr>
        <w:t>合同设备的性能试验、试运行和验收根据本部分规定的标准、规程规范进行。</w:t>
      </w:r>
    </w:p>
    <w:p w14:paraId="5D800D4E">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9</w:t>
      </w:r>
      <w:r>
        <w:rPr>
          <w:rFonts w:hint="eastAsia" w:ascii="EU-F1"/>
          <w:snapToGrid w:val="0"/>
          <w:color w:val="auto"/>
          <w:spacing w:val="20"/>
          <w:szCs w:val="21"/>
          <w:highlight w:val="none"/>
          <w:shd w:val="clear" w:color="auto" w:fill="auto"/>
        </w:rPr>
        <w:t>.3</w:t>
      </w:r>
      <w:r>
        <w:rPr>
          <w:rFonts w:hint="eastAsia" w:ascii="EU-F1"/>
          <w:snapToGrid w:val="0"/>
          <w:color w:val="auto"/>
          <w:szCs w:val="21"/>
          <w:highlight w:val="none"/>
          <w:shd w:val="clear" w:color="auto" w:fill="auto"/>
        </w:rPr>
        <w:t>　</w:t>
      </w:r>
      <w:r>
        <w:rPr>
          <w:rFonts w:hint="eastAsia"/>
          <w:snapToGrid w:val="0"/>
          <w:color w:val="auto"/>
          <w:spacing w:val="-2"/>
          <w:szCs w:val="21"/>
          <w:highlight w:val="none"/>
          <w:shd w:val="clear" w:color="auto" w:fill="auto"/>
        </w:rPr>
        <w:t>如果安装、调试、性能试验、试运行及质保期内技术指标一项或多项不能满足合同技术部分要求，招投标双方共同分析原因，分清责任，如属制造方面的原因，或涉及索赔部分，按商务部分有关条款执行。</w:t>
      </w:r>
    </w:p>
    <w:p w14:paraId="1C2987CF">
      <w:pPr>
        <w:pStyle w:val="61"/>
        <w:outlineLvl w:val="0"/>
        <w:rPr>
          <w:color w:val="auto"/>
          <w:highlight w:val="none"/>
          <w:shd w:val="clear" w:color="auto" w:fill="auto"/>
        </w:rPr>
      </w:pPr>
      <w:bookmarkStart w:id="7" w:name="_Toc438720045"/>
      <w:r>
        <w:rPr>
          <w:rFonts w:hint="eastAsia"/>
          <w:color w:val="auto"/>
          <w:highlight w:val="none"/>
          <w:shd w:val="clear" w:color="auto" w:fill="auto"/>
        </w:rPr>
        <w:t>5　技术参数和性能要求</w:t>
      </w:r>
      <w:bookmarkEnd w:id="7"/>
    </w:p>
    <w:p w14:paraId="28897228">
      <w:pPr>
        <w:pStyle w:val="60"/>
        <w:rPr>
          <w:color w:val="auto"/>
          <w:highlight w:val="none"/>
          <w:shd w:val="clear" w:color="auto" w:fill="auto"/>
        </w:rPr>
      </w:pPr>
      <w:r>
        <w:rPr>
          <w:rFonts w:hint="eastAsia"/>
          <w:color w:val="auto"/>
          <w:highlight w:val="none"/>
          <w:shd w:val="clear" w:color="auto" w:fill="auto"/>
        </w:rPr>
        <w:t>5</w:t>
      </w:r>
      <w:r>
        <w:rPr>
          <w:rFonts w:hint="eastAsia"/>
          <w:color w:val="auto"/>
          <w:spacing w:val="20"/>
          <w:highlight w:val="none"/>
          <w:shd w:val="clear" w:color="auto" w:fill="auto"/>
        </w:rPr>
        <w:t>.</w:t>
      </w:r>
      <w:r>
        <w:rPr>
          <w:rFonts w:hint="eastAsia"/>
          <w:color w:val="auto"/>
          <w:highlight w:val="none"/>
          <w:shd w:val="clear" w:color="auto" w:fill="auto"/>
        </w:rPr>
        <w:t>1　使用环境</w:t>
      </w:r>
    </w:p>
    <w:p w14:paraId="1AA34248">
      <w:pPr>
        <w:ind w:left="840" w:hanging="420"/>
        <w:rPr>
          <w:color w:val="auto"/>
          <w:highlight w:val="none"/>
          <w:shd w:val="clear" w:color="auto" w:fill="auto"/>
        </w:rPr>
      </w:pPr>
      <w:r>
        <w:rPr>
          <w:color w:val="auto"/>
          <w:highlight w:val="none"/>
          <w:shd w:val="clear" w:color="auto" w:fill="auto"/>
        </w:rPr>
        <w:t>a</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海拔高度：≤</w:t>
      </w:r>
      <w:r>
        <w:rPr>
          <w:rFonts w:hint="eastAsia"/>
          <w:color w:val="auto"/>
          <w:highlight w:val="none"/>
          <w:shd w:val="clear" w:color="auto" w:fill="auto"/>
          <w:lang w:val="en-US" w:eastAsia="zh-CN"/>
        </w:rPr>
        <w:t>2</w:t>
      </w:r>
      <w:r>
        <w:rPr>
          <w:rFonts w:hint="eastAsia"/>
          <w:color w:val="auto"/>
          <w:highlight w:val="none"/>
          <w:shd w:val="clear" w:color="auto" w:fill="auto"/>
        </w:rPr>
        <w:t>000m。</w:t>
      </w:r>
    </w:p>
    <w:p w14:paraId="756D4F5A">
      <w:pPr>
        <w:ind w:left="840" w:hanging="420"/>
        <w:rPr>
          <w:color w:val="auto"/>
          <w:highlight w:val="none"/>
          <w:shd w:val="clear" w:color="auto" w:fill="auto"/>
        </w:rPr>
      </w:pPr>
      <w:r>
        <w:rPr>
          <w:rFonts w:hint="eastAsia"/>
          <w:color w:val="auto"/>
          <w:highlight w:val="none"/>
          <w:shd w:val="clear" w:color="auto" w:fill="auto"/>
        </w:rPr>
        <w:t>b）</w:t>
      </w:r>
      <w:r>
        <w:rPr>
          <w:color w:val="auto"/>
          <w:highlight w:val="none"/>
          <w:shd w:val="clear" w:color="auto" w:fill="auto"/>
        </w:rPr>
        <w:tab/>
      </w:r>
      <w:r>
        <w:rPr>
          <w:rFonts w:hint="eastAsia"/>
          <w:color w:val="auto"/>
          <w:highlight w:val="none"/>
          <w:shd w:val="clear" w:color="auto" w:fill="auto"/>
        </w:rPr>
        <w:t>环境温度：-25℃～+45℃。</w:t>
      </w:r>
    </w:p>
    <w:p w14:paraId="65ECE1B7">
      <w:pPr>
        <w:ind w:left="840" w:hanging="420"/>
        <w:rPr>
          <w:color w:val="auto"/>
          <w:highlight w:val="none"/>
          <w:shd w:val="clear" w:color="auto" w:fill="auto"/>
        </w:rPr>
      </w:pPr>
      <w:r>
        <w:rPr>
          <w:rFonts w:hint="eastAsia"/>
          <w:color w:val="auto"/>
          <w:highlight w:val="none"/>
          <w:shd w:val="clear" w:color="auto" w:fill="auto"/>
        </w:rPr>
        <w:t>c）</w:t>
      </w:r>
      <w:r>
        <w:rPr>
          <w:color w:val="auto"/>
          <w:highlight w:val="none"/>
          <w:shd w:val="clear" w:color="auto" w:fill="auto"/>
        </w:rPr>
        <w:tab/>
      </w:r>
      <w:r>
        <w:rPr>
          <w:rFonts w:hint="eastAsia"/>
          <w:color w:val="auto"/>
          <w:highlight w:val="none"/>
          <w:shd w:val="clear" w:color="auto" w:fill="auto"/>
        </w:rPr>
        <w:t>年平均温度：25℃。</w:t>
      </w:r>
    </w:p>
    <w:p w14:paraId="0E807FF7">
      <w:pPr>
        <w:ind w:left="840" w:hanging="420"/>
        <w:rPr>
          <w:color w:val="auto"/>
          <w:highlight w:val="none"/>
          <w:shd w:val="clear" w:color="auto" w:fill="auto"/>
        </w:rPr>
      </w:pPr>
      <w:r>
        <w:rPr>
          <w:rFonts w:hint="eastAsia"/>
          <w:color w:val="auto"/>
          <w:highlight w:val="none"/>
          <w:shd w:val="clear" w:color="auto" w:fill="auto"/>
        </w:rPr>
        <w:t>d）</w:t>
      </w:r>
      <w:r>
        <w:rPr>
          <w:color w:val="auto"/>
          <w:highlight w:val="none"/>
          <w:shd w:val="clear" w:color="auto" w:fill="auto"/>
        </w:rPr>
        <w:tab/>
      </w:r>
      <w:r>
        <w:rPr>
          <w:rFonts w:hint="eastAsia"/>
          <w:color w:val="auto"/>
          <w:highlight w:val="none"/>
          <w:shd w:val="clear" w:color="auto" w:fill="auto"/>
        </w:rPr>
        <w:t>最大日温差：15℃。</w:t>
      </w:r>
    </w:p>
    <w:p w14:paraId="732C7264">
      <w:pPr>
        <w:ind w:left="840" w:hanging="420"/>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e）</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t>空气相对湿度：日平均相对湿度≤95%，月平均相对湿度≤90%。</w:t>
      </w:r>
    </w:p>
    <w:p w14:paraId="481C655C">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5.2</w:t>
      </w:r>
      <w:bookmarkStart w:id="8" w:name="_Toc358552375"/>
      <w:bookmarkStart w:id="9" w:name="_Toc358552337"/>
      <w:bookmarkStart w:id="10" w:name="_Toc363387107"/>
      <w:bookmarkStart w:id="11" w:name="_Toc363381650"/>
      <w:bookmarkStart w:id="12" w:name="_Toc363243289"/>
      <w:r>
        <w:rPr>
          <w:rFonts w:hint="eastAsia" w:ascii="宋体" w:hAnsi="宋体" w:eastAsia="宋体" w:cs="宋体"/>
          <w:b w:val="0"/>
          <w:bCs w:val="0"/>
          <w:color w:val="auto"/>
          <w:highlight w:val="none"/>
          <w:shd w:val="clear" w:color="auto" w:fill="auto"/>
        </w:rPr>
        <w:t>　直流系统</w:t>
      </w:r>
    </w:p>
    <w:p w14:paraId="102C6EA5">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a）电池配置：共享直流电源的蓄电池组，取消传统 UPS 和通信电源的蓄电池组和充电单元⁠</w:t>
      </w:r>
    </w:p>
    <w:p w14:paraId="24C9F8ED">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lang w:val="en-US" w:eastAsia="zh-CN"/>
        </w:rPr>
        <w:t>b</w:t>
      </w:r>
      <w:r>
        <w:rPr>
          <w:rFonts w:hint="eastAsia" w:ascii="宋体" w:hAnsi="宋体" w:eastAsia="宋体" w:cs="宋体"/>
          <w:b w:val="0"/>
          <w:bCs w:val="0"/>
          <w:color w:val="auto"/>
          <w:highlight w:val="none"/>
          <w:shd w:val="clear" w:color="auto" w:fill="auto"/>
        </w:rPr>
        <w:t>）充电装置：充电装置应具有恒流充电和恒压运行功能。恒流充电时，充电电流的调整范围为 20%In～130%In（In－额定电流，A），恒压运行时，充电电压应保持稳定⁠</w:t>
      </w:r>
    </w:p>
    <w:p w14:paraId="74AE62D9">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lang w:val="en-US" w:eastAsia="zh-CN"/>
        </w:rPr>
        <w:t>c</w:t>
      </w:r>
      <w:r>
        <w:rPr>
          <w:rFonts w:hint="eastAsia" w:ascii="宋体" w:hAnsi="宋体" w:eastAsia="宋体" w:cs="宋体"/>
          <w:b w:val="0"/>
          <w:bCs w:val="0"/>
          <w:color w:val="auto"/>
          <w:highlight w:val="none"/>
          <w:shd w:val="clear" w:color="auto" w:fill="auto"/>
        </w:rPr>
        <w:t>）监控功能：应配置直流馈线监测模块，能够监测馈线回路单相电流及馈线断路器位置和报警接点信息</w:t>
      </w:r>
    </w:p>
    <w:p w14:paraId="179A9C78">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5.</w:t>
      </w:r>
      <w:r>
        <w:rPr>
          <w:rFonts w:hint="eastAsia" w:ascii="宋体" w:hAnsi="宋体" w:eastAsia="宋体" w:cs="宋体"/>
          <w:b w:val="0"/>
          <w:bCs w:val="0"/>
          <w:color w:val="auto"/>
          <w:highlight w:val="none"/>
          <w:shd w:val="clear" w:color="auto" w:fill="auto"/>
          <w:lang w:val="en-US" w:eastAsia="zh-CN"/>
        </w:rPr>
        <w:t>3</w:t>
      </w:r>
      <w:r>
        <w:rPr>
          <w:rFonts w:hint="eastAsia" w:ascii="宋体" w:hAnsi="宋体" w:eastAsia="宋体" w:cs="宋体"/>
          <w:b w:val="0"/>
          <w:bCs w:val="0"/>
          <w:color w:val="auto"/>
          <w:highlight w:val="none"/>
          <w:shd w:val="clear" w:color="auto" w:fill="auto"/>
        </w:rPr>
        <w:t>　</w:t>
      </w:r>
      <w:r>
        <w:rPr>
          <w:rFonts w:hint="eastAsia" w:ascii="宋体" w:hAnsi="宋体" w:eastAsia="宋体" w:cs="宋体"/>
          <w:b w:val="0"/>
          <w:bCs w:val="0"/>
          <w:color w:val="auto"/>
          <w:highlight w:val="none"/>
          <w:shd w:val="clear" w:color="auto" w:fill="auto"/>
          <w:lang w:eastAsia="zh-CN"/>
        </w:rPr>
        <w:t>交</w:t>
      </w:r>
      <w:r>
        <w:rPr>
          <w:rFonts w:hint="eastAsia" w:ascii="宋体" w:hAnsi="宋体" w:eastAsia="宋体" w:cs="宋体"/>
          <w:b w:val="0"/>
          <w:bCs w:val="0"/>
          <w:color w:val="auto"/>
          <w:highlight w:val="none"/>
          <w:shd w:val="clear" w:color="auto" w:fill="auto"/>
        </w:rPr>
        <w:t>流系统</w:t>
      </w:r>
    </w:p>
    <w:p w14:paraId="2DA432F1">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a）电源输入：交流电源应满足不同负载的需求，包括变电站内部的设备和外部负荷。</w:t>
      </w:r>
    </w:p>
    <w:p w14:paraId="10EC6FB8">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lang w:val="en-US" w:eastAsia="zh-CN"/>
        </w:rPr>
        <w:t>b</w:t>
      </w:r>
      <w:r>
        <w:rPr>
          <w:rFonts w:hint="eastAsia" w:ascii="宋体" w:hAnsi="宋体" w:eastAsia="宋体" w:cs="宋体"/>
          <w:b w:val="0"/>
          <w:bCs w:val="0"/>
          <w:color w:val="auto"/>
          <w:highlight w:val="none"/>
          <w:shd w:val="clear" w:color="auto" w:fill="auto"/>
        </w:rPr>
        <w:t>）不间断供电：交流不间断电源(UPS)应确保在市电中断时，能够立即切换到备用电源，保证重要设备的连续运行。</w:t>
      </w:r>
    </w:p>
    <w:p w14:paraId="11B0365D">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lang w:val="en-US" w:eastAsia="zh-CN"/>
        </w:rPr>
        <w:t>c</w:t>
      </w:r>
      <w:r>
        <w:rPr>
          <w:rFonts w:hint="eastAsia" w:ascii="宋体" w:hAnsi="宋体" w:eastAsia="宋体" w:cs="宋体"/>
          <w:b w:val="0"/>
          <w:bCs w:val="0"/>
          <w:color w:val="auto"/>
          <w:highlight w:val="none"/>
          <w:shd w:val="clear" w:color="auto" w:fill="auto"/>
        </w:rPr>
        <w:t>）智能模块化设计：交直流馈线单元采用智能模块化设计，将开关、传感器、智能电路集成在一个标准模块内，模块内的运行参数（开关量、电量、控制）、采集信息的数字化处理、信息上传、信息下达都通过模块内部的智能电路完成[.</w:t>
      </w:r>
    </w:p>
    <w:p w14:paraId="4256C522">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d）电力专用UPS：采用电力专用 UPS，直接由直流母线变换取得交流不间断电源。</w:t>
      </w:r>
    </w:p>
    <w:p w14:paraId="595B2A46">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e）性能要求：UPS 应具备高可靠性、低故障率和快速响应时间，确保在市电中断时迅速切换到备用电源。</w:t>
      </w:r>
    </w:p>
    <w:p w14:paraId="175EEBC2">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5.</w:t>
      </w:r>
      <w:r>
        <w:rPr>
          <w:rFonts w:hint="eastAsia" w:ascii="宋体" w:hAnsi="宋体" w:eastAsia="宋体" w:cs="宋体"/>
          <w:b w:val="0"/>
          <w:bCs w:val="0"/>
          <w:color w:val="auto"/>
          <w:highlight w:val="none"/>
          <w:shd w:val="clear" w:color="auto" w:fill="auto"/>
          <w:lang w:val="en-US" w:eastAsia="zh-CN"/>
        </w:rPr>
        <w:t>4</w:t>
      </w:r>
      <w:r>
        <w:rPr>
          <w:rFonts w:hint="eastAsia" w:ascii="宋体" w:hAnsi="宋体" w:eastAsia="宋体" w:cs="宋体"/>
          <w:b w:val="0"/>
          <w:bCs w:val="0"/>
          <w:color w:val="auto"/>
          <w:highlight w:val="none"/>
          <w:shd w:val="clear" w:color="auto" w:fill="auto"/>
        </w:rPr>
        <w:t>　一体化电源监控</w:t>
      </w:r>
    </w:p>
    <w:p w14:paraId="25E91575">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rPr>
        <w:t>a）总监控装置：设置一体化电源的总监控装置，负责收集显示变电站交流电源、直流电源、UPS电源和通信电源的状态信息。</w:t>
      </w:r>
    </w:p>
    <w:p w14:paraId="7AE65727">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lang w:val="en-US" w:eastAsia="zh-CN"/>
        </w:rPr>
        <w:t>b</w:t>
      </w:r>
      <w:r>
        <w:rPr>
          <w:rFonts w:hint="eastAsia" w:ascii="宋体" w:hAnsi="宋体" w:eastAsia="宋体" w:cs="宋体"/>
          <w:b w:val="0"/>
          <w:bCs w:val="0"/>
          <w:color w:val="auto"/>
          <w:highlight w:val="none"/>
          <w:shd w:val="clear" w:color="auto" w:fill="auto"/>
        </w:rPr>
        <w:t>）信息交互：总监控装置应具有液晶汉显人机对话界面，并能够与信息一体化平台进行信息交互。</w:t>
      </w:r>
    </w:p>
    <w:p w14:paraId="542F8651">
      <w:pPr>
        <w:pStyle w:val="60"/>
        <w:rPr>
          <w:rFonts w:hint="eastAsia" w:ascii="宋体" w:hAnsi="宋体" w:eastAsia="宋体" w:cs="宋体"/>
          <w:b w:val="0"/>
          <w:bCs w:val="0"/>
          <w:color w:val="auto"/>
          <w:highlight w:val="none"/>
          <w:shd w:val="clear" w:color="auto" w:fill="auto"/>
        </w:rPr>
      </w:pPr>
      <w:r>
        <w:rPr>
          <w:rFonts w:hint="eastAsia" w:ascii="宋体" w:hAnsi="宋体" w:eastAsia="宋体" w:cs="宋体"/>
          <w:b w:val="0"/>
          <w:bCs w:val="0"/>
          <w:color w:val="auto"/>
          <w:highlight w:val="none"/>
          <w:shd w:val="clear" w:color="auto" w:fill="auto"/>
          <w:lang w:val="en-US" w:eastAsia="zh-CN"/>
        </w:rPr>
        <w:t>c</w:t>
      </w:r>
      <w:r>
        <w:rPr>
          <w:rFonts w:hint="eastAsia" w:ascii="宋体" w:hAnsi="宋体" w:eastAsia="宋体" w:cs="宋体"/>
          <w:b w:val="0"/>
          <w:bCs w:val="0"/>
          <w:color w:val="auto"/>
          <w:highlight w:val="none"/>
          <w:shd w:val="clear" w:color="auto" w:fill="auto"/>
        </w:rPr>
        <w:t>）故障诊断：监控模块应能综合分析和处理各种信息数据，对整个 ATS 实施把握和治理，并具有故障诊断和报警功能。</w:t>
      </w:r>
    </w:p>
    <w:p w14:paraId="7D711E87">
      <w:pPr>
        <w:pStyle w:val="60"/>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5.</w:t>
      </w:r>
      <w:r>
        <w:rPr>
          <w:rFonts w:hint="eastAsia" w:ascii="宋体" w:hAnsi="宋体" w:eastAsia="宋体"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rPr>
        <w:t>　标志、包装、运输</w:t>
      </w:r>
      <w:bookmarkEnd w:id="8"/>
      <w:bookmarkEnd w:id="9"/>
      <w:r>
        <w:rPr>
          <w:rFonts w:hint="eastAsia" w:ascii="宋体" w:hAnsi="宋体" w:eastAsia="宋体" w:cs="宋体"/>
          <w:color w:val="auto"/>
          <w:highlight w:val="none"/>
          <w:shd w:val="clear" w:color="auto" w:fill="auto"/>
        </w:rPr>
        <w:t>、贮存</w:t>
      </w:r>
      <w:bookmarkEnd w:id="10"/>
      <w:bookmarkEnd w:id="11"/>
      <w:bookmarkEnd w:id="12"/>
      <w:r>
        <w:rPr>
          <w:rFonts w:hint="eastAsia" w:ascii="宋体" w:hAnsi="宋体" w:eastAsia="宋体" w:cs="宋体"/>
          <w:color w:val="auto"/>
          <w:highlight w:val="none"/>
          <w:shd w:val="clear" w:color="auto" w:fill="auto"/>
        </w:rPr>
        <w:t>及</w:t>
      </w:r>
      <w:r>
        <w:rPr>
          <w:rFonts w:hint="eastAsia" w:ascii="宋体" w:hAnsi="宋体" w:eastAsia="宋体" w:cs="宋体"/>
          <w:color w:val="auto"/>
          <w:highlight w:val="none"/>
          <w:shd w:val="clear" w:color="auto" w:fill="auto"/>
          <w:lang w:eastAsia="zh-CN"/>
        </w:rPr>
        <w:t>其他要求</w:t>
      </w:r>
    </w:p>
    <w:p w14:paraId="56D057DF">
      <w:pPr>
        <w:pStyle w:val="60"/>
        <w:rPr>
          <w:rFonts w:hint="eastAsia" w:ascii="宋体" w:hAnsi="宋体" w:eastAsia="宋体" w:cs="宋体"/>
          <w:color w:val="auto"/>
          <w:highlight w:val="none"/>
          <w:shd w:val="clear" w:color="auto" w:fill="auto"/>
        </w:rPr>
      </w:pPr>
      <w:bookmarkStart w:id="13" w:name="_Toc363243290"/>
      <w:bookmarkStart w:id="14" w:name="_Toc363381651"/>
      <w:r>
        <w:rPr>
          <w:rFonts w:hint="eastAsia" w:ascii="宋体" w:hAnsi="宋体" w:eastAsia="宋体" w:cs="宋体"/>
          <w:color w:val="auto"/>
          <w:highlight w:val="none"/>
          <w:shd w:val="clear" w:color="auto" w:fill="auto"/>
        </w:rPr>
        <w:t>5.</w:t>
      </w:r>
      <w:r>
        <w:rPr>
          <w:rFonts w:hint="eastAsia" w:ascii="宋体" w:hAnsi="宋体" w:eastAsia="宋体"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rPr>
        <w:t>.1标志</w:t>
      </w:r>
      <w:bookmarkEnd w:id="13"/>
      <w:bookmarkEnd w:id="14"/>
    </w:p>
    <w:p w14:paraId="1595E1DB">
      <w:pPr>
        <w:topLinePunct/>
        <w:spacing w:line="312" w:lineRule="exact"/>
        <w:ind w:firstLine="420"/>
        <w:rPr>
          <w:color w:val="auto"/>
          <w:szCs w:val="21"/>
          <w:highlight w:val="none"/>
          <w:shd w:val="clear" w:color="auto" w:fill="auto"/>
        </w:rPr>
      </w:pPr>
      <w:r>
        <w:rPr>
          <w:rFonts w:hint="eastAsia" w:ascii="宋体" w:hAnsi="宋体" w:eastAsia="宋体" w:cs="宋体"/>
          <w:color w:val="auto"/>
          <w:szCs w:val="21"/>
          <w:highlight w:val="none"/>
          <w:shd w:val="clear" w:color="auto" w:fill="auto"/>
        </w:rPr>
        <w:t>投标人应对货物包装进行完善的标志，以便招标人接收货</w:t>
      </w:r>
      <w:r>
        <w:rPr>
          <w:rFonts w:hint="eastAsia"/>
          <w:color w:val="auto"/>
          <w:szCs w:val="21"/>
          <w:highlight w:val="none"/>
          <w:shd w:val="clear" w:color="auto" w:fill="auto"/>
        </w:rPr>
        <w:t>物；投标人应妥善考虑货物的包装、运输，招标人在接收货物时会进行货物包装、元件外观的进厂检验、且为完全检验，因包装、运输不完善造成的元件损伤，招标方有权要求投标方进行无条件更换。</w:t>
      </w:r>
    </w:p>
    <w:p w14:paraId="3710B433">
      <w:pPr>
        <w:pStyle w:val="5"/>
        <w:keepNext w:val="0"/>
        <w:keepLines w:val="0"/>
        <w:widowControl/>
        <w:suppressLineNumbers w:val="0"/>
        <w:spacing w:line="23" w:lineRule="atLeast"/>
        <w:rPr>
          <w:rFonts w:hint="eastAsia" w:ascii="Times New Roman" w:hAnsi="Times New Roman" w:eastAsia="宋体" w:cs="Times New Roman"/>
          <w:b w:val="0"/>
          <w:color w:val="auto"/>
          <w:kern w:val="2"/>
          <w:sz w:val="21"/>
          <w:szCs w:val="21"/>
          <w:highlight w:val="none"/>
          <w:shd w:val="clear" w:color="auto" w:fill="auto"/>
          <w:lang w:val="en-US" w:eastAsia="zh-CN" w:bidi="ar-SA"/>
        </w:rPr>
      </w:pPr>
      <w:bookmarkStart w:id="15" w:name="_Toc363243291"/>
      <w:bookmarkStart w:id="16" w:name="_Toc358552377"/>
      <w:bookmarkStart w:id="17" w:name="_Toc358552339"/>
      <w:bookmarkStart w:id="18" w:name="_Toc363381652"/>
      <w:r>
        <w:rPr>
          <w:rFonts w:hint="eastAsia" w:ascii="Times New Roman" w:hAnsi="Times New Roman" w:eastAsia="宋体" w:cs="Times New Roman"/>
          <w:b w:val="0"/>
          <w:color w:val="auto"/>
          <w:kern w:val="2"/>
          <w:sz w:val="21"/>
          <w:szCs w:val="21"/>
          <w:highlight w:val="none"/>
          <w:shd w:val="clear" w:color="auto" w:fill="auto"/>
          <w:lang w:val="en-US" w:eastAsia="zh-CN" w:bidi="ar-SA"/>
        </w:rPr>
        <w:t>5.5.</w:t>
      </w:r>
      <w:bookmarkEnd w:id="15"/>
      <w:bookmarkEnd w:id="16"/>
      <w:bookmarkEnd w:id="17"/>
      <w:bookmarkEnd w:id="18"/>
      <w:r>
        <w:rPr>
          <w:rFonts w:hint="eastAsia" w:ascii="Times New Roman" w:hAnsi="Times New Roman" w:eastAsia="宋体" w:cs="Times New Roman"/>
          <w:b w:val="0"/>
          <w:color w:val="auto"/>
          <w:kern w:val="2"/>
          <w:sz w:val="21"/>
          <w:szCs w:val="21"/>
          <w:highlight w:val="none"/>
          <w:shd w:val="clear" w:color="auto" w:fill="auto"/>
          <w:lang w:val="en-US" w:eastAsia="zh-CN" w:bidi="ar-SA"/>
        </w:rPr>
        <w:t>.2其他要求</w:t>
      </w:r>
    </w:p>
    <w:p w14:paraId="4F93971B">
      <w:pPr>
        <w:keepNext w:val="0"/>
        <w:keepLines w:val="0"/>
        <w:widowControl/>
        <w:numPr>
          <w:ilvl w:val="0"/>
          <w:numId w:val="0"/>
        </w:numPr>
        <w:suppressLineNumbers w:val="0"/>
        <w:spacing w:before="0" w:beforeAutospacing="1" w:after="0" w:afterAutospacing="1" w:line="240" w:lineRule="atLeast"/>
        <w:ind w:left="360" w:leftChars="0"/>
        <w:rPr>
          <w:rFonts w:hint="eastAsia" w:ascii="Times New Roman" w:hAnsi="Times New Roman" w:eastAsia="宋体" w:cs="Times New Roman"/>
          <w:b w:val="0"/>
          <w:color w:val="auto"/>
          <w:kern w:val="2"/>
          <w:sz w:val="21"/>
          <w:szCs w:val="21"/>
          <w:highlight w:val="none"/>
          <w:shd w:val="clear" w:color="auto" w:fill="auto"/>
          <w:lang w:val="en-US" w:eastAsia="zh-CN" w:bidi="ar-SA"/>
        </w:rPr>
      </w:pPr>
      <w:r>
        <w:rPr>
          <w:rFonts w:hint="eastAsia" w:ascii="Times New Roman" w:hAnsi="Times New Roman" w:eastAsia="宋体" w:cs="Times New Roman"/>
          <w:b w:val="0"/>
          <w:color w:val="auto"/>
          <w:kern w:val="2"/>
          <w:sz w:val="21"/>
          <w:szCs w:val="21"/>
          <w:highlight w:val="none"/>
          <w:shd w:val="clear" w:color="auto" w:fill="auto"/>
          <w:lang w:val="en-US" w:eastAsia="zh-CN" w:bidi="ar-SA"/>
        </w:rPr>
        <w:t>环境适应性：设备应能在恶劣的环境条件下正常工作，如高温、低温、潮湿等。</w:t>
      </w:r>
    </w:p>
    <w:p w14:paraId="7259AC5F">
      <w:pPr>
        <w:keepNext w:val="0"/>
        <w:keepLines w:val="0"/>
        <w:widowControl/>
        <w:numPr>
          <w:ilvl w:val="0"/>
          <w:numId w:val="0"/>
        </w:numPr>
        <w:suppressLineNumbers w:val="0"/>
        <w:spacing w:before="0" w:beforeAutospacing="1" w:after="0" w:afterAutospacing="1" w:line="240" w:lineRule="atLeast"/>
        <w:ind w:left="360" w:leftChars="0"/>
        <w:rPr>
          <w:rFonts w:hint="eastAsia" w:ascii="Times New Roman" w:hAnsi="Times New Roman" w:eastAsia="宋体" w:cs="Times New Roman"/>
          <w:b w:val="0"/>
          <w:color w:val="auto"/>
          <w:kern w:val="2"/>
          <w:sz w:val="21"/>
          <w:szCs w:val="21"/>
          <w:highlight w:val="none"/>
          <w:shd w:val="clear" w:color="auto" w:fill="auto"/>
          <w:lang w:val="en-US" w:eastAsia="zh-CN" w:bidi="ar-SA"/>
        </w:rPr>
      </w:pPr>
      <w:r>
        <w:rPr>
          <w:color w:val="auto"/>
          <w:highlight w:val="none"/>
          <w:shd w:val="clear" w:color="auto" w:fill="auto"/>
        </w:rPr>
        <w:t>a</w:t>
      </w:r>
      <w:r>
        <w:rPr>
          <w:rFonts w:hint="eastAsia"/>
          <w:color w:val="auto"/>
          <w:highlight w:val="none"/>
          <w:shd w:val="clear" w:color="auto" w:fill="auto"/>
        </w:rPr>
        <w:t>）</w:t>
      </w:r>
      <w:r>
        <w:rPr>
          <w:rFonts w:hint="eastAsia" w:ascii="Times New Roman" w:hAnsi="Times New Roman" w:eastAsia="宋体" w:cs="Times New Roman"/>
          <w:b w:val="0"/>
          <w:color w:val="auto"/>
          <w:kern w:val="2"/>
          <w:sz w:val="21"/>
          <w:szCs w:val="21"/>
          <w:highlight w:val="none"/>
          <w:shd w:val="clear" w:color="auto" w:fill="auto"/>
          <w:lang w:val="en-US" w:eastAsia="zh-CN" w:bidi="ar-SA"/>
        </w:rPr>
        <w:t>安全防护：系统应具备完善的安全防护措施，如过载保护、短路保护、过热保护等。</w:t>
      </w:r>
    </w:p>
    <w:p w14:paraId="3D1C3A05">
      <w:pPr>
        <w:keepNext w:val="0"/>
        <w:keepLines w:val="0"/>
        <w:widowControl/>
        <w:numPr>
          <w:ilvl w:val="0"/>
          <w:numId w:val="0"/>
        </w:numPr>
        <w:suppressLineNumbers w:val="0"/>
        <w:spacing w:before="0" w:beforeAutospacing="1" w:after="0" w:afterAutospacing="1" w:line="240" w:lineRule="atLeast"/>
        <w:ind w:left="360" w:leftChars="0"/>
        <w:rPr>
          <w:color w:val="auto"/>
          <w:highlight w:val="none"/>
          <w:shd w:val="clear" w:color="auto" w:fill="auto"/>
        </w:rPr>
      </w:pPr>
      <w:r>
        <w:rPr>
          <w:rFonts w:hint="eastAsia"/>
          <w:color w:val="auto"/>
          <w:highlight w:val="none"/>
          <w:shd w:val="clear" w:color="auto" w:fill="auto"/>
          <w:lang w:val="en-US" w:eastAsia="zh-CN"/>
        </w:rPr>
        <w:t>b</w:t>
      </w:r>
      <w:r>
        <w:rPr>
          <w:rFonts w:hint="eastAsia"/>
          <w:color w:val="auto"/>
          <w:highlight w:val="none"/>
          <w:shd w:val="clear" w:color="auto" w:fill="auto"/>
        </w:rPr>
        <w:t>）</w:t>
      </w:r>
      <w:r>
        <w:rPr>
          <w:rFonts w:hint="eastAsia" w:ascii="Times New Roman" w:hAnsi="Times New Roman" w:eastAsia="宋体" w:cs="Times New Roman"/>
          <w:b w:val="0"/>
          <w:color w:val="auto"/>
          <w:kern w:val="2"/>
          <w:sz w:val="21"/>
          <w:szCs w:val="21"/>
          <w:highlight w:val="none"/>
          <w:shd w:val="clear" w:color="auto" w:fill="auto"/>
          <w:lang w:val="en-US" w:eastAsia="zh-CN" w:bidi="ar-SA"/>
        </w:rPr>
        <w:t>服务质量：供方应提供符合 ISO9001 质量保证体系认证的产品，宜提供 ISO14001 环境管理体系认证证书⁠</w:t>
      </w:r>
      <w:r>
        <w:rPr>
          <w:b w:val="0"/>
          <w:bCs w:val="0"/>
          <w:i w:val="0"/>
          <w:iCs w:val="0"/>
          <w:color w:val="auto"/>
          <w:sz w:val="21"/>
          <w:szCs w:val="21"/>
          <w:highlight w:val="none"/>
          <w:shd w:val="clear" w:color="auto" w:fill="auto"/>
        </w:rPr>
        <w:t>⁣</w:t>
      </w:r>
    </w:p>
    <w:p w14:paraId="5DBD9EDB">
      <w:pPr>
        <w:pStyle w:val="61"/>
        <w:outlineLvl w:val="0"/>
        <w:rPr>
          <w:color w:val="auto"/>
          <w:highlight w:val="none"/>
          <w:shd w:val="clear" w:color="auto" w:fill="auto"/>
        </w:rPr>
      </w:pPr>
      <w:bookmarkStart w:id="19" w:name="_Toc438720046"/>
      <w:r>
        <w:rPr>
          <w:rFonts w:hint="eastAsia"/>
          <w:color w:val="auto"/>
          <w:highlight w:val="none"/>
          <w:shd w:val="clear" w:color="auto" w:fill="auto"/>
        </w:rPr>
        <w:t>6　试验</w:t>
      </w:r>
      <w:bookmarkEnd w:id="19"/>
    </w:p>
    <w:p w14:paraId="22933B01">
      <w:pPr>
        <w:topLinePunct/>
        <w:spacing w:line="312" w:lineRule="exact"/>
        <w:rPr>
          <w:bCs/>
          <w:color w:val="auto"/>
          <w:szCs w:val="21"/>
          <w:highlight w:val="none"/>
          <w:shd w:val="clear" w:color="auto" w:fill="auto"/>
        </w:rPr>
      </w:pPr>
      <w:r>
        <w:rPr>
          <w:rFonts w:hint="eastAsia" w:ascii="EU-F1" w:eastAsia="黑体"/>
          <w:color w:val="auto"/>
          <w:szCs w:val="21"/>
          <w:highlight w:val="none"/>
          <w:shd w:val="clear" w:color="auto" w:fill="auto"/>
        </w:rPr>
        <w:t>6.1</w:t>
      </w:r>
      <w:r>
        <w:rPr>
          <w:bCs/>
          <w:color w:val="auto"/>
          <w:szCs w:val="21"/>
          <w:highlight w:val="none"/>
          <w:shd w:val="clear" w:color="auto" w:fill="auto"/>
        </w:rPr>
        <w:t xml:space="preserve">  </w:t>
      </w:r>
      <w:r>
        <w:rPr>
          <w:rFonts w:hint="eastAsia"/>
          <w:bCs/>
          <w:color w:val="auto"/>
          <w:szCs w:val="21"/>
          <w:highlight w:val="none"/>
          <w:shd w:val="clear" w:color="auto" w:fill="auto"/>
        </w:rPr>
        <w:t>根据国家标准（</w:t>
      </w:r>
      <w:r>
        <w:rPr>
          <w:bCs/>
          <w:color w:val="auto"/>
          <w:szCs w:val="21"/>
          <w:highlight w:val="none"/>
          <w:shd w:val="clear" w:color="auto" w:fill="auto"/>
        </w:rPr>
        <w:t>GB</w:t>
      </w:r>
      <w:r>
        <w:rPr>
          <w:rFonts w:hint="eastAsia"/>
          <w:bCs/>
          <w:color w:val="auto"/>
          <w:szCs w:val="21"/>
          <w:highlight w:val="none"/>
          <w:shd w:val="clear" w:color="auto" w:fill="auto"/>
        </w:rPr>
        <w:t>）、电力行业标准（</w:t>
      </w:r>
      <w:r>
        <w:rPr>
          <w:bCs/>
          <w:color w:val="auto"/>
          <w:szCs w:val="21"/>
          <w:highlight w:val="none"/>
          <w:shd w:val="clear" w:color="auto" w:fill="auto"/>
        </w:rPr>
        <w:t>DL</w:t>
      </w:r>
      <w:r>
        <w:rPr>
          <w:rFonts w:hint="eastAsia"/>
          <w:bCs/>
          <w:color w:val="auto"/>
          <w:szCs w:val="21"/>
          <w:highlight w:val="none"/>
          <w:shd w:val="clear" w:color="auto" w:fill="auto"/>
        </w:rPr>
        <w:t>）或国家电网公司企业标准进行试验。试验中，要遵循并执行下列附加要求，并应提供供货范围内主要元件的型式试验和出厂试验报告。</w:t>
      </w:r>
    </w:p>
    <w:p w14:paraId="7572CF09">
      <w:pPr>
        <w:topLinePunct/>
        <w:spacing w:line="312" w:lineRule="exact"/>
        <w:rPr>
          <w:snapToGrid w:val="0"/>
          <w:color w:val="auto"/>
          <w:szCs w:val="21"/>
          <w:highlight w:val="none"/>
          <w:shd w:val="clear" w:color="auto" w:fill="auto"/>
        </w:rPr>
      </w:pPr>
      <w:r>
        <w:rPr>
          <w:rFonts w:hint="eastAsia" w:ascii="EU-F1" w:eastAsia="黑体"/>
          <w:color w:val="auto"/>
          <w:szCs w:val="21"/>
          <w:highlight w:val="none"/>
          <w:shd w:val="clear" w:color="auto" w:fill="auto"/>
        </w:rPr>
        <w:t>6.2</w:t>
      </w:r>
      <w:r>
        <w:rPr>
          <w:bCs/>
          <w:color w:val="auto"/>
          <w:szCs w:val="21"/>
          <w:highlight w:val="none"/>
          <w:shd w:val="clear" w:color="auto" w:fill="auto"/>
        </w:rPr>
        <w:t xml:space="preserve">  </w:t>
      </w:r>
      <w:r>
        <w:rPr>
          <w:rFonts w:hint="eastAsia"/>
          <w:snapToGrid w:val="0"/>
          <w:color w:val="auto"/>
          <w:szCs w:val="21"/>
          <w:highlight w:val="none"/>
          <w:shd w:val="clear" w:color="auto" w:fill="auto"/>
        </w:rPr>
        <w:t>现场交接试验应符合标准的要求。</w:t>
      </w:r>
    </w:p>
    <w:p w14:paraId="38F72751">
      <w:pPr>
        <w:topLinePunct/>
        <w:spacing w:line="312" w:lineRule="exact"/>
        <w:rPr>
          <w:snapToGrid w:val="0"/>
          <w:color w:val="auto"/>
          <w:szCs w:val="21"/>
          <w:highlight w:val="none"/>
          <w:shd w:val="clear" w:color="auto" w:fill="auto"/>
        </w:rPr>
      </w:pPr>
      <w:r>
        <w:rPr>
          <w:rFonts w:hint="eastAsia" w:ascii="EU-F1" w:eastAsia="黑体"/>
          <w:color w:val="auto"/>
          <w:szCs w:val="21"/>
          <w:highlight w:val="none"/>
          <w:shd w:val="clear" w:color="auto" w:fill="auto"/>
        </w:rPr>
        <w:t xml:space="preserve">6.3 </w:t>
      </w:r>
      <w:r>
        <w:rPr>
          <w:snapToGrid w:val="0"/>
          <w:color w:val="auto"/>
          <w:szCs w:val="21"/>
          <w:highlight w:val="none"/>
          <w:shd w:val="clear" w:color="auto" w:fill="auto"/>
        </w:rPr>
        <w:t xml:space="preserve"> </w:t>
      </w:r>
      <w:r>
        <w:rPr>
          <w:rFonts w:hint="eastAsia"/>
          <w:bCs/>
          <w:color w:val="auto"/>
          <w:szCs w:val="21"/>
          <w:highlight w:val="none"/>
          <w:shd w:val="clear" w:color="auto" w:fill="auto"/>
        </w:rPr>
        <w:t>抽检试验由招标方委托第三方检验机构如电力工业电力设备及仪表质量检验测试中心配电系统设备及中低压电器质检站完成。</w:t>
      </w:r>
    </w:p>
    <w:p w14:paraId="77244357">
      <w:pPr>
        <w:pStyle w:val="60"/>
        <w:rPr>
          <w:color w:val="auto"/>
          <w:highlight w:val="none"/>
          <w:shd w:val="clear" w:color="auto" w:fill="auto"/>
        </w:rPr>
      </w:pPr>
      <w:r>
        <w:rPr>
          <w:rFonts w:hint="eastAsia"/>
          <w:color w:val="auto"/>
          <w:highlight w:val="none"/>
          <w:shd w:val="clear" w:color="auto" w:fill="auto"/>
        </w:rPr>
        <w:t>6</w:t>
      </w:r>
      <w:r>
        <w:rPr>
          <w:rFonts w:hint="eastAsia"/>
          <w:color w:val="auto"/>
          <w:spacing w:val="20"/>
          <w:highlight w:val="none"/>
          <w:shd w:val="clear" w:color="auto" w:fill="auto"/>
        </w:rPr>
        <w:t>.</w:t>
      </w:r>
      <w:r>
        <w:rPr>
          <w:rFonts w:hint="eastAsia"/>
          <w:color w:val="auto"/>
          <w:highlight w:val="none"/>
          <w:shd w:val="clear" w:color="auto" w:fill="auto"/>
          <w:lang w:val="en-US" w:eastAsia="zh-CN"/>
        </w:rPr>
        <w:t>4</w:t>
      </w:r>
      <w:r>
        <w:rPr>
          <w:rFonts w:hint="eastAsia"/>
          <w:color w:val="auto"/>
          <w:highlight w:val="none"/>
          <w:shd w:val="clear" w:color="auto" w:fill="auto"/>
        </w:rPr>
        <w:t>　出厂试验</w:t>
      </w:r>
    </w:p>
    <w:p w14:paraId="3E407458">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6</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lang w:val="en-US" w:eastAsia="zh-CN"/>
        </w:rPr>
        <w:t>4</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每一台产品在出厂时都应进行出厂试验，均应按相应的标准通过出厂试验。</w:t>
      </w:r>
    </w:p>
    <w:p w14:paraId="5580E90E">
      <w:pPr>
        <w:pStyle w:val="60"/>
        <w:rPr>
          <w:rFonts w:ascii="黑体" w:hAnsi="黑体"/>
          <w:snapToGrid w:val="0"/>
          <w:color w:val="auto"/>
          <w:highlight w:val="none"/>
          <w:shd w:val="clear" w:color="auto" w:fill="auto"/>
        </w:rPr>
      </w:pPr>
      <w:r>
        <w:rPr>
          <w:rFonts w:hint="eastAsia" w:ascii="黑体" w:hAnsi="黑体"/>
          <w:snapToGrid w:val="0"/>
          <w:color w:val="auto"/>
          <w:highlight w:val="none"/>
          <w:shd w:val="clear" w:color="auto" w:fill="auto"/>
        </w:rPr>
        <w:t>6</w:t>
      </w:r>
      <w:r>
        <w:rPr>
          <w:rFonts w:hint="eastAsia" w:ascii="黑体" w:hAnsi="黑体"/>
          <w:snapToGrid w:val="0"/>
          <w:color w:val="auto"/>
          <w:spacing w:val="20"/>
          <w:highlight w:val="none"/>
          <w:shd w:val="clear" w:color="auto" w:fill="auto"/>
        </w:rPr>
        <w:t>.</w:t>
      </w:r>
      <w:r>
        <w:rPr>
          <w:rFonts w:hint="eastAsia" w:ascii="黑体" w:hAnsi="黑体"/>
          <w:snapToGrid w:val="0"/>
          <w:color w:val="auto"/>
          <w:highlight w:val="none"/>
          <w:shd w:val="clear" w:color="auto" w:fill="auto"/>
          <w:lang w:val="en-US" w:eastAsia="zh-CN"/>
        </w:rPr>
        <w:t>5</w:t>
      </w:r>
      <w:r>
        <w:rPr>
          <w:rFonts w:hint="eastAsia" w:ascii="黑体" w:hAnsi="黑体"/>
          <w:snapToGrid w:val="0"/>
          <w:color w:val="auto"/>
          <w:highlight w:val="none"/>
          <w:shd w:val="clear" w:color="auto" w:fill="auto"/>
        </w:rPr>
        <w:t>　抽检试验</w:t>
      </w:r>
    </w:p>
    <w:p w14:paraId="457A9346">
      <w:pPr>
        <w:topLinePunct/>
        <w:spacing w:line="312" w:lineRule="exact"/>
        <w:rPr>
          <w:color w:val="auto"/>
          <w:highlight w:val="none"/>
          <w:shd w:val="clear" w:color="auto" w:fill="auto"/>
        </w:rPr>
      </w:pPr>
      <w:r>
        <w:rPr>
          <w:rFonts w:hint="eastAsia" w:ascii="黑体" w:hAnsi="黑体" w:eastAsia="黑体"/>
          <w:snapToGrid w:val="0"/>
          <w:color w:val="auto"/>
          <w:kern w:val="44"/>
          <w:szCs w:val="21"/>
          <w:highlight w:val="none"/>
          <w:shd w:val="clear" w:color="auto" w:fill="auto"/>
        </w:rPr>
        <w:t>6.</w:t>
      </w:r>
      <w:r>
        <w:rPr>
          <w:rFonts w:hint="eastAsia" w:ascii="黑体" w:hAnsi="黑体" w:eastAsia="黑体"/>
          <w:snapToGrid w:val="0"/>
          <w:color w:val="auto"/>
          <w:kern w:val="44"/>
          <w:szCs w:val="21"/>
          <w:highlight w:val="none"/>
          <w:shd w:val="clear" w:color="auto" w:fill="auto"/>
          <w:lang w:val="en-US" w:eastAsia="zh-CN"/>
        </w:rPr>
        <w:t>5</w:t>
      </w:r>
      <w:r>
        <w:rPr>
          <w:rFonts w:hint="eastAsia" w:ascii="黑体" w:hAnsi="黑体" w:eastAsia="黑体"/>
          <w:snapToGrid w:val="0"/>
          <w:color w:val="auto"/>
          <w:kern w:val="44"/>
          <w:szCs w:val="21"/>
          <w:highlight w:val="none"/>
          <w:shd w:val="clear" w:color="auto" w:fill="auto"/>
        </w:rPr>
        <w:t>.1</w:t>
      </w:r>
      <w:r>
        <w:rPr>
          <w:rFonts w:hint="eastAsia" w:ascii="EU-F1"/>
          <w:color w:val="auto"/>
          <w:szCs w:val="21"/>
          <w:highlight w:val="none"/>
          <w:shd w:val="clear" w:color="auto" w:fill="auto"/>
        </w:rPr>
        <w:t>　</w:t>
      </w:r>
      <w:r>
        <w:rPr>
          <w:rFonts w:hint="eastAsia"/>
          <w:color w:val="auto"/>
          <w:szCs w:val="21"/>
          <w:highlight w:val="none"/>
          <w:shd w:val="clear" w:color="auto" w:fill="auto"/>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auto"/>
          <w:kern w:val="44"/>
          <w:szCs w:val="21"/>
          <w:highlight w:val="none"/>
          <w:shd w:val="clear" w:color="auto" w:fill="auto"/>
        </w:rPr>
        <w:t>6.</w:t>
      </w:r>
      <w:r>
        <w:rPr>
          <w:rFonts w:hint="eastAsia" w:ascii="黑体" w:hAnsi="黑体" w:eastAsia="黑体"/>
          <w:snapToGrid w:val="0"/>
          <w:color w:val="auto"/>
          <w:kern w:val="44"/>
          <w:szCs w:val="21"/>
          <w:highlight w:val="none"/>
          <w:shd w:val="clear" w:color="auto" w:fill="auto"/>
          <w:lang w:val="en-US" w:eastAsia="zh-CN"/>
        </w:rPr>
        <w:t>5</w:t>
      </w:r>
      <w:r>
        <w:rPr>
          <w:rFonts w:hint="eastAsia" w:ascii="黑体" w:hAnsi="黑体" w:eastAsia="黑体"/>
          <w:snapToGrid w:val="0"/>
          <w:color w:val="auto"/>
          <w:kern w:val="44"/>
          <w:szCs w:val="21"/>
          <w:highlight w:val="none"/>
          <w:shd w:val="clear" w:color="auto" w:fill="auto"/>
        </w:rPr>
        <w:t>.2</w:t>
      </w:r>
      <w:r>
        <w:rPr>
          <w:rFonts w:hint="eastAsia" w:ascii="EU-F1"/>
          <w:color w:val="auto"/>
          <w:szCs w:val="21"/>
          <w:highlight w:val="none"/>
          <w:shd w:val="clear" w:color="auto" w:fill="auto"/>
        </w:rPr>
        <w:t>　</w:t>
      </w:r>
      <w:r>
        <w:rPr>
          <w:rFonts w:hint="eastAsia"/>
          <w:color w:val="auto"/>
          <w:szCs w:val="21"/>
          <w:highlight w:val="none"/>
          <w:shd w:val="clear" w:color="auto" w:fill="auto"/>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5CF54AFD">
      <w:pPr>
        <w:pStyle w:val="61"/>
        <w:outlineLvl w:val="0"/>
        <w:rPr>
          <w:color w:val="auto"/>
          <w:highlight w:val="none"/>
          <w:shd w:val="clear" w:color="auto" w:fill="auto"/>
        </w:rPr>
      </w:pPr>
      <w:r>
        <w:rPr>
          <w:rFonts w:hint="eastAsia"/>
          <w:color w:val="auto"/>
          <w:highlight w:val="none"/>
          <w:shd w:val="clear" w:color="auto" w:fill="auto"/>
        </w:rPr>
        <w:t>7　技术服务、工厂检验</w:t>
      </w:r>
      <w:bookmarkEnd w:id="20"/>
    </w:p>
    <w:p w14:paraId="661B5394">
      <w:pPr>
        <w:pStyle w:val="60"/>
        <w:rPr>
          <w:color w:val="auto"/>
          <w:highlight w:val="none"/>
          <w:shd w:val="clear" w:color="auto" w:fill="auto"/>
        </w:rPr>
      </w:pPr>
      <w:r>
        <w:rPr>
          <w:rFonts w:hint="eastAsia"/>
          <w:color w:val="auto"/>
          <w:highlight w:val="none"/>
          <w:shd w:val="clear" w:color="auto" w:fill="auto"/>
        </w:rPr>
        <w:t>7</w:t>
      </w:r>
      <w:r>
        <w:rPr>
          <w:rFonts w:hint="eastAsia"/>
          <w:color w:val="auto"/>
          <w:spacing w:val="20"/>
          <w:highlight w:val="none"/>
          <w:shd w:val="clear" w:color="auto" w:fill="auto"/>
        </w:rPr>
        <w:t>.</w:t>
      </w:r>
      <w:r>
        <w:rPr>
          <w:rFonts w:hint="eastAsia"/>
          <w:color w:val="auto"/>
          <w:highlight w:val="none"/>
          <w:shd w:val="clear" w:color="auto" w:fill="auto"/>
        </w:rPr>
        <w:t>1　技术服务</w:t>
      </w:r>
    </w:p>
    <w:p w14:paraId="0359821C">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概述：</w:t>
      </w:r>
    </w:p>
    <w:p w14:paraId="447A0448">
      <w:pPr>
        <w:ind w:left="840" w:hanging="420"/>
        <w:rPr>
          <w:color w:val="auto"/>
          <w:highlight w:val="none"/>
          <w:shd w:val="clear" w:color="auto" w:fill="auto"/>
        </w:rPr>
      </w:pPr>
      <w:r>
        <w:rPr>
          <w:color w:val="auto"/>
          <w:highlight w:val="none"/>
          <w:shd w:val="clear" w:color="auto" w:fill="auto"/>
        </w:rPr>
        <w:t>a</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0ABA4116">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szCs w:val="21"/>
          <w:highlight w:val="none"/>
          <w:shd w:val="clear" w:color="auto" w:fill="auto"/>
        </w:rPr>
        <w:t>任务和责任：</w:t>
      </w:r>
    </w:p>
    <w:p w14:paraId="4FF01ACF">
      <w:pPr>
        <w:ind w:left="840" w:hanging="420"/>
        <w:rPr>
          <w:color w:val="auto"/>
          <w:highlight w:val="none"/>
          <w:shd w:val="clear" w:color="auto" w:fill="auto"/>
        </w:rPr>
      </w:pPr>
      <w:r>
        <w:rPr>
          <w:color w:val="auto"/>
          <w:highlight w:val="none"/>
          <w:shd w:val="clear" w:color="auto" w:fill="auto"/>
        </w:rPr>
        <w:t>a</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投标人技术人员应按合同规定完成有关设备的技术服务，指导设备的安装、调试。</w:t>
      </w:r>
    </w:p>
    <w:p w14:paraId="21E05C17">
      <w:pPr>
        <w:ind w:left="840" w:hanging="420"/>
        <w:rPr>
          <w:color w:val="auto"/>
          <w:highlight w:val="none"/>
          <w:shd w:val="clear" w:color="auto" w:fill="auto"/>
        </w:rPr>
      </w:pPr>
      <w:r>
        <w:rPr>
          <w:color w:val="auto"/>
          <w:highlight w:val="none"/>
          <w:shd w:val="clear" w:color="auto" w:fill="auto"/>
        </w:rPr>
        <w:t>b</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投标人技术人员应对招标人人员详细地解释技术文件、图纸、运行和维护手册、设备特性、分析方法和有关的注意事项等，以及解答和解决招标人在合同范围内提出的技术问题。</w:t>
      </w:r>
    </w:p>
    <w:p w14:paraId="27864FA8">
      <w:pPr>
        <w:ind w:left="840" w:hanging="420"/>
        <w:rPr>
          <w:color w:val="auto"/>
          <w:highlight w:val="none"/>
          <w:shd w:val="clear" w:color="auto" w:fill="auto"/>
        </w:rPr>
      </w:pPr>
      <w:r>
        <w:rPr>
          <w:color w:val="auto"/>
          <w:highlight w:val="none"/>
          <w:shd w:val="clear" w:color="auto" w:fill="auto"/>
        </w:rPr>
        <w:t>c</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投标人技术人员有义务协助招标人在现场对运行和维护的人员进行必要的培训。</w:t>
      </w:r>
    </w:p>
    <w:p w14:paraId="0881E30C">
      <w:pPr>
        <w:ind w:left="840" w:hanging="420"/>
        <w:rPr>
          <w:color w:val="auto"/>
          <w:highlight w:val="none"/>
          <w:shd w:val="clear" w:color="auto" w:fill="auto"/>
        </w:rPr>
      </w:pPr>
      <w:r>
        <w:rPr>
          <w:color w:val="auto"/>
          <w:highlight w:val="none"/>
          <w:shd w:val="clear" w:color="auto" w:fill="auto"/>
        </w:rPr>
        <w:t>d</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4F382B79">
      <w:pPr>
        <w:ind w:left="840" w:hanging="420"/>
        <w:rPr>
          <w:color w:val="auto"/>
          <w:highlight w:val="none"/>
          <w:shd w:val="clear" w:color="auto" w:fill="auto"/>
        </w:rPr>
      </w:pPr>
      <w:r>
        <w:rPr>
          <w:color w:val="auto"/>
          <w:highlight w:val="none"/>
          <w:shd w:val="clear" w:color="auto" w:fill="auto"/>
        </w:rPr>
        <w:t>e</w:t>
      </w:r>
      <w:r>
        <w:rPr>
          <w:rFonts w:hint="eastAsia"/>
          <w:color w:val="auto"/>
          <w:highlight w:val="none"/>
          <w:shd w:val="clear" w:color="auto" w:fill="auto"/>
        </w:rPr>
        <w:t>）</w:t>
      </w:r>
      <w:r>
        <w:rPr>
          <w:color w:val="auto"/>
          <w:highlight w:val="none"/>
          <w:shd w:val="clear" w:color="auto" w:fill="auto"/>
        </w:rPr>
        <w:tab/>
      </w:r>
      <w:r>
        <w:rPr>
          <w:rFonts w:hint="eastAsia"/>
          <w:color w:val="auto"/>
          <w:highlight w:val="none"/>
          <w:shd w:val="clear" w:color="auto" w:fill="auto"/>
        </w:rPr>
        <w:t>投标人代表应充分理解招标人对安装、调试工作提出的技术和质量方面的意见和建议，使设备的安装、调试达到双方都满意的质量。</w:t>
      </w:r>
      <w:bookmarkStart w:id="21" w:name="_Toc327369532"/>
    </w:p>
    <w:bookmarkEnd w:id="21"/>
    <w:p w14:paraId="2AFE3022">
      <w:pPr>
        <w:pStyle w:val="60"/>
        <w:rPr>
          <w:color w:val="auto"/>
          <w:highlight w:val="none"/>
          <w:shd w:val="clear" w:color="auto" w:fill="auto"/>
        </w:rPr>
      </w:pPr>
      <w:r>
        <w:rPr>
          <w:rFonts w:hint="eastAsia"/>
          <w:color w:val="auto"/>
          <w:highlight w:val="none"/>
          <w:shd w:val="clear" w:color="auto" w:fill="auto"/>
        </w:rPr>
        <w:t>7</w:t>
      </w:r>
      <w:r>
        <w:rPr>
          <w:rFonts w:hint="eastAsia"/>
          <w:color w:val="auto"/>
          <w:spacing w:val="20"/>
          <w:highlight w:val="none"/>
          <w:shd w:val="clear" w:color="auto" w:fill="auto"/>
        </w:rPr>
        <w:t>.</w:t>
      </w:r>
      <w:r>
        <w:rPr>
          <w:rFonts w:hint="eastAsia"/>
          <w:color w:val="auto"/>
          <w:highlight w:val="none"/>
          <w:shd w:val="clear" w:color="auto" w:fill="auto"/>
        </w:rPr>
        <w:t>2　</w:t>
      </w:r>
      <w:r>
        <w:rPr>
          <w:rFonts w:hint="eastAsia"/>
          <w:snapToGrid w:val="0"/>
          <w:color w:val="auto"/>
          <w:highlight w:val="none"/>
          <w:shd w:val="clear" w:color="auto" w:fill="auto"/>
        </w:rPr>
        <w:t>工厂检验</w:t>
      </w:r>
    </w:p>
    <w:p w14:paraId="39ED8064">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szCs w:val="21"/>
          <w:highlight w:val="none"/>
          <w:shd w:val="clear" w:color="auto" w:fill="auto"/>
        </w:rPr>
        <w:t>招标人有权派遣其检验人员到投标人的车间场所，对合同设备的加工制造进行检验。</w:t>
      </w:r>
    </w:p>
    <w:p w14:paraId="162FB684">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szCs w:val="21"/>
          <w:highlight w:val="none"/>
          <w:shd w:val="clear" w:color="auto" w:fill="auto"/>
        </w:rPr>
        <w:t>如经检验和试验有不符合技术规范的合同设备，招标人可以拒收，投标人应无偿给予更换。</w:t>
      </w:r>
    </w:p>
    <w:p w14:paraId="25C9F5F4">
      <w:pPr>
        <w:topLinePunct/>
        <w:spacing w:line="312" w:lineRule="exact"/>
        <w:rPr>
          <w:rFonts w:ascii="宋体" w:hAnsi="宋体"/>
          <w:snapToGrid w:val="0"/>
          <w:color w:val="auto"/>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　</w:t>
      </w:r>
      <w:r>
        <w:rPr>
          <w:rFonts w:hint="eastAsia" w:ascii="宋体" w:hAnsi="宋体"/>
          <w:snapToGrid w:val="0"/>
          <w:color w:val="auto"/>
          <w:szCs w:val="21"/>
          <w:highlight w:val="none"/>
          <w:shd w:val="clear" w:color="auto" w:fill="auto"/>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color w:val="auto"/>
          <w:szCs w:val="21"/>
          <w:highlight w:val="none"/>
          <w:u w:val="single"/>
          <w:shd w:val="clear" w:color="auto" w:fill="auto"/>
        </w:rPr>
        <w:t>　30　</w:t>
      </w:r>
      <w:r>
        <w:rPr>
          <w:rFonts w:hint="eastAsia" w:ascii="宋体" w:hAnsi="宋体"/>
          <w:snapToGrid w:val="0"/>
          <w:color w:val="auto"/>
          <w:szCs w:val="21"/>
          <w:highlight w:val="none"/>
          <w:shd w:val="clear" w:color="auto" w:fill="auto"/>
        </w:rPr>
        <w:t>天，通知招标人其日程安排。根据这个日程安排，招标人需确定要见证的项目，并在</w:t>
      </w:r>
      <w:r>
        <w:rPr>
          <w:rFonts w:hint="eastAsia" w:ascii="宋体" w:hAnsi="宋体"/>
          <w:snapToGrid w:val="0"/>
          <w:color w:val="auto"/>
          <w:szCs w:val="21"/>
          <w:highlight w:val="none"/>
          <w:u w:val="single"/>
          <w:shd w:val="clear" w:color="auto" w:fill="auto"/>
        </w:rPr>
        <w:t>　14　</w:t>
      </w:r>
      <w:r>
        <w:rPr>
          <w:rFonts w:hint="eastAsia" w:ascii="宋体" w:hAnsi="宋体"/>
          <w:snapToGrid w:val="0"/>
          <w:color w:val="auto"/>
          <w:szCs w:val="21"/>
          <w:highlight w:val="none"/>
          <w:shd w:val="clear" w:color="auto" w:fill="auto"/>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0897A2C5">
      <w:pPr>
        <w:topLinePunct/>
        <w:spacing w:line="312" w:lineRule="exact"/>
        <w:rPr>
          <w:snapToGrid w:val="0"/>
          <w:color w:val="auto"/>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4　</w:t>
      </w:r>
      <w:r>
        <w:rPr>
          <w:rFonts w:hint="eastAsia"/>
          <w:snapToGrid w:val="0"/>
          <w:color w:val="auto"/>
          <w:szCs w:val="21"/>
          <w:highlight w:val="none"/>
          <w:shd w:val="clear" w:color="auto" w:fill="auto"/>
        </w:rPr>
        <w:t>若招标人不派或未按时派遣技术人员参加上述试验，投标人应在接到招标人相关通知后，自行组织检验。</w:t>
      </w:r>
    </w:p>
    <w:p w14:paraId="6B3ECF5C">
      <w:pPr>
        <w:widowControl/>
        <w:jc w:val="left"/>
        <w:rPr>
          <w:snapToGrid w:val="0"/>
          <w:color w:val="auto"/>
          <w:kern w:val="0"/>
          <w:szCs w:val="21"/>
          <w:highlight w:val="none"/>
          <w:shd w:val="clear" w:color="auto" w:fill="auto"/>
        </w:rPr>
      </w:pPr>
      <w:r>
        <w:rPr>
          <w:rFonts w:hint="eastAsia" w:ascii="EU-F1"/>
          <w:snapToGrid w:val="0"/>
          <w:color w:val="auto"/>
          <w:kern w:val="0"/>
          <w:szCs w:val="21"/>
          <w:highlight w:val="none"/>
          <w:shd w:val="clear" w:color="auto" w:fill="auto"/>
        </w:rPr>
        <w:t>7</w:t>
      </w:r>
      <w:r>
        <w:rPr>
          <w:rFonts w:hint="eastAsia" w:ascii="EU-F1"/>
          <w:snapToGrid w:val="0"/>
          <w:color w:val="auto"/>
          <w:spacing w:val="20"/>
          <w:kern w:val="0"/>
          <w:szCs w:val="21"/>
          <w:highlight w:val="none"/>
          <w:shd w:val="clear" w:color="auto" w:fill="auto"/>
        </w:rPr>
        <w:t>.</w:t>
      </w:r>
      <w:r>
        <w:rPr>
          <w:rFonts w:hint="eastAsia" w:ascii="EU-F1"/>
          <w:snapToGrid w:val="0"/>
          <w:color w:val="auto"/>
          <w:kern w:val="0"/>
          <w:szCs w:val="21"/>
          <w:highlight w:val="none"/>
          <w:shd w:val="clear" w:color="auto" w:fill="auto"/>
        </w:rPr>
        <w:t>2</w:t>
      </w:r>
      <w:r>
        <w:rPr>
          <w:rFonts w:hint="eastAsia" w:ascii="EU-F1"/>
          <w:snapToGrid w:val="0"/>
          <w:color w:val="auto"/>
          <w:spacing w:val="20"/>
          <w:kern w:val="0"/>
          <w:szCs w:val="21"/>
          <w:highlight w:val="none"/>
          <w:shd w:val="clear" w:color="auto" w:fill="auto"/>
        </w:rPr>
        <w:t>.</w:t>
      </w:r>
      <w:r>
        <w:rPr>
          <w:rFonts w:hint="eastAsia" w:ascii="EU-F1"/>
          <w:snapToGrid w:val="0"/>
          <w:color w:val="auto"/>
          <w:kern w:val="0"/>
          <w:szCs w:val="21"/>
          <w:highlight w:val="none"/>
          <w:shd w:val="clear" w:color="auto" w:fill="auto"/>
        </w:rPr>
        <w:t>5　</w:t>
      </w:r>
      <w:r>
        <w:rPr>
          <w:rFonts w:hint="eastAsia"/>
          <w:snapToGrid w:val="0"/>
          <w:color w:val="auto"/>
          <w:kern w:val="0"/>
          <w:szCs w:val="21"/>
          <w:highlight w:val="none"/>
          <w:shd w:val="clear" w:color="auto" w:fill="auto"/>
        </w:rPr>
        <w:t>为对合同设备进行了解，投标人应对招标人进行技术培训。</w:t>
      </w:r>
    </w:p>
    <w:p w14:paraId="4BFAECDE">
      <w:pPr>
        <w:pStyle w:val="60"/>
        <w:rPr>
          <w:color w:val="auto"/>
          <w:highlight w:val="none"/>
          <w:shd w:val="clear" w:color="auto" w:fill="auto"/>
        </w:rPr>
      </w:pPr>
      <w:bookmarkStart w:id="22" w:name="_Toc269375989"/>
      <w:bookmarkStart w:id="23" w:name="_Toc178439789"/>
      <w:r>
        <w:rPr>
          <w:rFonts w:hint="eastAsia"/>
          <w:color w:val="auto"/>
          <w:highlight w:val="none"/>
          <w:shd w:val="clear" w:color="auto" w:fill="auto"/>
        </w:rPr>
        <w:t>7</w:t>
      </w:r>
      <w:r>
        <w:rPr>
          <w:rFonts w:hint="eastAsia"/>
          <w:color w:val="auto"/>
          <w:spacing w:val="20"/>
          <w:highlight w:val="none"/>
          <w:shd w:val="clear" w:color="auto" w:fill="auto"/>
        </w:rPr>
        <w:t>.3</w:t>
      </w:r>
      <w:r>
        <w:rPr>
          <w:rFonts w:hint="eastAsia"/>
          <w:color w:val="auto"/>
          <w:highlight w:val="none"/>
          <w:shd w:val="clear" w:color="auto" w:fill="auto"/>
        </w:rPr>
        <w:t>　</w:t>
      </w:r>
      <w:r>
        <w:rPr>
          <w:rFonts w:hint="eastAsia"/>
          <w:snapToGrid w:val="0"/>
          <w:color w:val="auto"/>
          <w:highlight w:val="none"/>
          <w:shd w:val="clear" w:color="auto" w:fill="auto"/>
        </w:rPr>
        <w:t>售后服务</w:t>
      </w:r>
    </w:p>
    <w:bookmarkEnd w:id="22"/>
    <w:bookmarkEnd w:id="23"/>
    <w:p w14:paraId="3FAAE85F">
      <w:pPr>
        <w:widowControl/>
        <w:jc w:val="left"/>
        <w:rPr>
          <w:snapToGrid w:val="0"/>
          <w:color w:val="auto"/>
          <w:kern w:val="0"/>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1　</w:t>
      </w:r>
      <w:r>
        <w:rPr>
          <w:rFonts w:hint="eastAsia"/>
          <w:snapToGrid w:val="0"/>
          <w:color w:val="auto"/>
          <w:kern w:val="0"/>
          <w:szCs w:val="21"/>
          <w:highlight w:val="none"/>
          <w:shd w:val="clear" w:color="auto" w:fill="auto"/>
        </w:rPr>
        <w:t>保修期内产品出现不符合功能和技术指标要求的，供方应负责无偿修理或更换；保修期外供方更换损坏的设备，按成本收取维修费用。</w:t>
      </w:r>
    </w:p>
    <w:p w14:paraId="769D5CDB">
      <w:pPr>
        <w:widowControl/>
        <w:jc w:val="left"/>
        <w:rPr>
          <w:snapToGrid w:val="0"/>
          <w:color w:val="auto"/>
          <w:kern w:val="0"/>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2　</w:t>
      </w:r>
      <w:r>
        <w:rPr>
          <w:rFonts w:hint="eastAsia"/>
          <w:snapToGrid w:val="0"/>
          <w:color w:val="auto"/>
          <w:kern w:val="0"/>
          <w:szCs w:val="21"/>
          <w:highlight w:val="none"/>
          <w:shd w:val="clear" w:color="auto" w:fill="auto"/>
        </w:rPr>
        <w:t>保修外重大缺陷，供方应负责及时无偿修理或更换。</w:t>
      </w:r>
    </w:p>
    <w:p w14:paraId="3561FC27">
      <w:pPr>
        <w:widowControl/>
        <w:jc w:val="left"/>
        <w:rPr>
          <w:snapToGrid w:val="0"/>
          <w:color w:val="auto"/>
          <w:kern w:val="0"/>
          <w:szCs w:val="21"/>
          <w:highlight w:val="none"/>
          <w:shd w:val="clear" w:color="auto" w:fill="auto"/>
        </w:rPr>
      </w:pPr>
      <w:r>
        <w:rPr>
          <w:rFonts w:hint="eastAsia" w:ascii="EU-F1"/>
          <w:snapToGrid w:val="0"/>
          <w:color w:val="auto"/>
          <w:szCs w:val="21"/>
          <w:highlight w:val="none"/>
          <w:shd w:val="clear" w:color="auto" w:fill="auto"/>
        </w:rPr>
        <w:t>7</w:t>
      </w:r>
      <w:r>
        <w:rPr>
          <w:rFonts w:hint="eastAsia" w:ascii="EU-F1"/>
          <w:snapToGrid w:val="0"/>
          <w:color w:val="auto"/>
          <w:spacing w:val="20"/>
          <w:szCs w:val="21"/>
          <w:highlight w:val="none"/>
          <w:shd w:val="clear" w:color="auto" w:fill="auto"/>
        </w:rPr>
        <w:t>.</w:t>
      </w:r>
      <w:r>
        <w:rPr>
          <w:rFonts w:hint="eastAsia" w:ascii="EU-F1"/>
          <w:snapToGrid w:val="0"/>
          <w:color w:val="auto"/>
          <w:szCs w:val="21"/>
          <w:highlight w:val="none"/>
          <w:shd w:val="clear" w:color="auto" w:fill="auto"/>
        </w:rPr>
        <w:t>3</w:t>
      </w:r>
      <w:r>
        <w:rPr>
          <w:rFonts w:hint="eastAsia" w:ascii="EU-F1"/>
          <w:snapToGrid w:val="0"/>
          <w:color w:val="auto"/>
          <w:spacing w:val="20"/>
          <w:szCs w:val="21"/>
          <w:highlight w:val="none"/>
          <w:shd w:val="clear" w:color="auto" w:fill="auto"/>
        </w:rPr>
        <w:t>.3</w:t>
      </w:r>
      <w:r>
        <w:rPr>
          <w:rFonts w:hint="eastAsia" w:ascii="EU-F1"/>
          <w:snapToGrid w:val="0"/>
          <w:color w:val="auto"/>
          <w:szCs w:val="21"/>
          <w:highlight w:val="none"/>
          <w:shd w:val="clear" w:color="auto" w:fill="auto"/>
        </w:rPr>
        <w:t>　</w:t>
      </w:r>
      <w:r>
        <w:rPr>
          <w:rFonts w:hint="eastAsia"/>
          <w:snapToGrid w:val="0"/>
          <w:color w:val="auto"/>
          <w:kern w:val="0"/>
          <w:szCs w:val="21"/>
          <w:highlight w:val="none"/>
          <w:shd w:val="clear" w:color="auto" w:fill="auto"/>
        </w:rPr>
        <w:t>出现异常、设备缺陷、元件损坏</w:t>
      </w:r>
      <w:r>
        <w:rPr>
          <w:snapToGrid w:val="0"/>
          <w:color w:val="auto"/>
          <w:kern w:val="0"/>
          <w:szCs w:val="21"/>
          <w:highlight w:val="none"/>
          <w:shd w:val="clear" w:color="auto" w:fill="auto"/>
        </w:rPr>
        <w:t>,</w:t>
      </w:r>
      <w:r>
        <w:rPr>
          <w:rFonts w:hint="eastAsia"/>
          <w:snapToGrid w:val="0"/>
          <w:color w:val="auto"/>
          <w:kern w:val="0"/>
          <w:szCs w:val="21"/>
          <w:highlight w:val="none"/>
          <w:shd w:val="clear" w:color="auto" w:fill="auto"/>
        </w:rPr>
        <w:t>现场无法处理时，供方接到买方通知后，应在</w:t>
      </w:r>
      <w:r>
        <w:rPr>
          <w:snapToGrid w:val="0"/>
          <w:color w:val="auto"/>
          <w:kern w:val="0"/>
          <w:szCs w:val="21"/>
          <w:highlight w:val="none"/>
          <w:shd w:val="clear" w:color="auto" w:fill="auto"/>
        </w:rPr>
        <w:t>4</w:t>
      </w:r>
      <w:r>
        <w:rPr>
          <w:rFonts w:hint="eastAsia"/>
          <w:snapToGrid w:val="0"/>
          <w:color w:val="auto"/>
          <w:kern w:val="0"/>
          <w:szCs w:val="21"/>
          <w:highlight w:val="none"/>
          <w:shd w:val="clear" w:color="auto" w:fill="auto"/>
        </w:rPr>
        <w:t>小时内响应，并立即派出工程技术人员在</w:t>
      </w:r>
      <w:r>
        <w:rPr>
          <w:snapToGrid w:val="0"/>
          <w:color w:val="auto"/>
          <w:kern w:val="0"/>
          <w:szCs w:val="21"/>
          <w:highlight w:val="none"/>
          <w:shd w:val="clear" w:color="auto" w:fill="auto"/>
        </w:rPr>
        <w:t>48</w:t>
      </w:r>
      <w:r>
        <w:rPr>
          <w:rFonts w:hint="eastAsia"/>
          <w:snapToGrid w:val="0"/>
          <w:color w:val="auto"/>
          <w:kern w:val="0"/>
          <w:szCs w:val="21"/>
          <w:highlight w:val="none"/>
          <w:shd w:val="clear" w:color="auto" w:fill="auto"/>
        </w:rPr>
        <w:t>小时内到达现场进行处理。</w:t>
      </w:r>
    </w:p>
    <w:p w14:paraId="312D4133">
      <w:pPr>
        <w:pStyle w:val="61"/>
        <w:outlineLvl w:val="0"/>
        <w:rPr>
          <w:color w:val="auto"/>
          <w:highlight w:val="none"/>
          <w:shd w:val="clear" w:color="auto" w:fill="auto"/>
        </w:rPr>
      </w:pPr>
      <w:bookmarkStart w:id="24" w:name="_Toc438720048"/>
      <w:r>
        <w:rPr>
          <w:rFonts w:hint="eastAsia"/>
          <w:color w:val="auto"/>
          <w:highlight w:val="none"/>
          <w:shd w:val="clear" w:color="auto" w:fill="auto"/>
        </w:rPr>
        <w:t>8　报价表</w:t>
      </w:r>
      <w:bookmarkEnd w:id="24"/>
    </w:p>
    <w:p w14:paraId="0EC97F6A">
      <w:pPr>
        <w:topLinePunct/>
        <w:spacing w:line="312" w:lineRule="exact"/>
        <w:ind w:firstLine="420"/>
        <w:rPr>
          <w:color w:val="auto"/>
          <w:szCs w:val="21"/>
          <w:highlight w:val="none"/>
          <w:shd w:val="clear" w:color="auto" w:fill="auto"/>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color w:val="auto"/>
          <w:szCs w:val="21"/>
          <w:highlight w:val="none"/>
          <w:shd w:val="clear" w:color="auto" w:fill="auto"/>
        </w:rPr>
        <w:t>报价表分为报价汇总表、分项报价表</w:t>
      </w:r>
      <w:r>
        <w:rPr>
          <w:rFonts w:hint="eastAsia"/>
          <w:color w:val="auto"/>
          <w:szCs w:val="21"/>
          <w:highlight w:val="none"/>
          <w:shd w:val="clear" w:color="auto" w:fill="auto"/>
          <w:lang w:eastAsia="zh-CN"/>
        </w:rPr>
        <w:t>、</w:t>
      </w:r>
      <w:r>
        <w:rPr>
          <w:rFonts w:hint="eastAsia" w:ascii="宋体" w:hAnsi="宋体" w:cs="宋体"/>
          <w:color w:val="auto"/>
          <w:kern w:val="0"/>
          <w:sz w:val="22"/>
          <w:szCs w:val="22"/>
          <w:highlight w:val="none"/>
          <w:shd w:val="clear" w:color="auto" w:fill="auto"/>
        </w:rPr>
        <w:t>货物单价分析表</w:t>
      </w:r>
      <w:r>
        <w:rPr>
          <w:rFonts w:hint="eastAsia"/>
          <w:color w:val="auto"/>
          <w:szCs w:val="21"/>
          <w:highlight w:val="none"/>
          <w:shd w:val="clear" w:color="auto" w:fill="auto"/>
        </w:rPr>
        <w:t>，投标人应严格按要求进行报价文件的制作。所有报价表单独密封。</w:t>
      </w:r>
    </w:p>
    <w:tbl>
      <w:tblPr>
        <w:tblStyle w:val="39"/>
        <w:tblW w:w="13061" w:type="dxa"/>
        <w:tblInd w:w="97" w:type="dxa"/>
        <w:tblLayout w:type="fixed"/>
        <w:tblCellMar>
          <w:top w:w="0" w:type="dxa"/>
          <w:left w:w="108" w:type="dxa"/>
          <w:bottom w:w="0" w:type="dxa"/>
          <w:right w:w="108" w:type="dxa"/>
        </w:tblCellMar>
      </w:tblPr>
      <w:tblGrid>
        <w:gridCol w:w="720"/>
        <w:gridCol w:w="2950"/>
        <w:gridCol w:w="1445"/>
        <w:gridCol w:w="1268"/>
        <w:gridCol w:w="1023"/>
        <w:gridCol w:w="1500"/>
        <w:gridCol w:w="1309"/>
        <w:gridCol w:w="2846"/>
      </w:tblGrid>
      <w:tr w14:paraId="053B646D">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3602A089">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报价汇总表</w:t>
            </w:r>
          </w:p>
        </w:tc>
      </w:tr>
      <w:tr w14:paraId="25405CF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3DEA29A">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序号</w:t>
            </w:r>
          </w:p>
        </w:tc>
        <w:tc>
          <w:tcPr>
            <w:tcW w:w="2950" w:type="dxa"/>
            <w:tcBorders>
              <w:top w:val="nil"/>
              <w:left w:val="nil"/>
              <w:bottom w:val="single" w:color="auto" w:sz="4" w:space="0"/>
              <w:right w:val="single" w:color="auto" w:sz="4" w:space="0"/>
            </w:tcBorders>
            <w:shd w:val="clear" w:color="auto" w:fill="auto"/>
            <w:vAlign w:val="center"/>
          </w:tcPr>
          <w:p w14:paraId="4293274D">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产品技术描述</w:t>
            </w:r>
          </w:p>
        </w:tc>
        <w:tc>
          <w:tcPr>
            <w:tcW w:w="1445" w:type="dxa"/>
            <w:tcBorders>
              <w:top w:val="nil"/>
              <w:left w:val="nil"/>
              <w:bottom w:val="single" w:color="auto" w:sz="4" w:space="0"/>
              <w:right w:val="single" w:color="auto" w:sz="4" w:space="0"/>
            </w:tcBorders>
            <w:shd w:val="clear" w:color="auto" w:fill="auto"/>
            <w:vAlign w:val="center"/>
          </w:tcPr>
          <w:p w14:paraId="23F99F88">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单位</w:t>
            </w:r>
          </w:p>
        </w:tc>
        <w:tc>
          <w:tcPr>
            <w:tcW w:w="1268" w:type="dxa"/>
            <w:tcBorders>
              <w:top w:val="nil"/>
              <w:left w:val="nil"/>
              <w:bottom w:val="single" w:color="auto" w:sz="4" w:space="0"/>
              <w:right w:val="single" w:color="auto" w:sz="4" w:space="0"/>
            </w:tcBorders>
            <w:shd w:val="clear" w:color="auto" w:fill="auto"/>
            <w:vAlign w:val="center"/>
          </w:tcPr>
          <w:p w14:paraId="21BF87CB">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数量</w:t>
            </w:r>
          </w:p>
        </w:tc>
        <w:tc>
          <w:tcPr>
            <w:tcW w:w="1023" w:type="dxa"/>
            <w:tcBorders>
              <w:top w:val="nil"/>
              <w:left w:val="nil"/>
              <w:bottom w:val="single" w:color="auto" w:sz="4" w:space="0"/>
              <w:right w:val="single" w:color="auto" w:sz="4" w:space="0"/>
            </w:tcBorders>
            <w:shd w:val="clear" w:color="auto" w:fill="auto"/>
            <w:vAlign w:val="center"/>
          </w:tcPr>
          <w:p w14:paraId="7A437060">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单价（元）</w:t>
            </w:r>
          </w:p>
        </w:tc>
        <w:tc>
          <w:tcPr>
            <w:tcW w:w="1500" w:type="dxa"/>
            <w:tcBorders>
              <w:top w:val="nil"/>
              <w:left w:val="nil"/>
              <w:bottom w:val="single" w:color="auto" w:sz="4" w:space="0"/>
              <w:right w:val="single" w:color="auto" w:sz="4" w:space="0"/>
            </w:tcBorders>
            <w:shd w:val="clear" w:color="auto" w:fill="auto"/>
            <w:vAlign w:val="center"/>
          </w:tcPr>
          <w:p w14:paraId="449E0B85">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合计</w:t>
            </w:r>
          </w:p>
        </w:tc>
        <w:tc>
          <w:tcPr>
            <w:tcW w:w="1309" w:type="dxa"/>
            <w:tcBorders>
              <w:top w:val="nil"/>
              <w:left w:val="nil"/>
              <w:bottom w:val="single" w:color="auto" w:sz="4" w:space="0"/>
              <w:right w:val="single" w:color="auto" w:sz="4" w:space="0"/>
            </w:tcBorders>
            <w:shd w:val="clear" w:color="auto" w:fill="auto"/>
            <w:vAlign w:val="center"/>
          </w:tcPr>
          <w:p w14:paraId="7BA129E1">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生产厂家</w:t>
            </w:r>
          </w:p>
        </w:tc>
        <w:tc>
          <w:tcPr>
            <w:tcW w:w="2846" w:type="dxa"/>
            <w:tcBorders>
              <w:top w:val="nil"/>
              <w:left w:val="nil"/>
              <w:bottom w:val="single" w:color="auto" w:sz="4" w:space="0"/>
              <w:right w:val="single" w:color="auto" w:sz="4" w:space="0"/>
            </w:tcBorders>
            <w:shd w:val="clear" w:color="auto" w:fill="auto"/>
            <w:vAlign w:val="center"/>
          </w:tcPr>
          <w:p w14:paraId="52616C6B">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其他说明</w:t>
            </w:r>
          </w:p>
        </w:tc>
      </w:tr>
      <w:tr w14:paraId="7AB6637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9EE01CC">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1</w:t>
            </w:r>
          </w:p>
        </w:tc>
        <w:tc>
          <w:tcPr>
            <w:tcW w:w="2950" w:type="dxa"/>
            <w:tcBorders>
              <w:top w:val="nil"/>
              <w:left w:val="nil"/>
              <w:bottom w:val="single" w:color="auto" w:sz="4" w:space="0"/>
              <w:right w:val="single" w:color="auto" w:sz="4" w:space="0"/>
            </w:tcBorders>
            <w:shd w:val="clear" w:color="auto" w:fill="auto"/>
            <w:vAlign w:val="center"/>
          </w:tcPr>
          <w:p w14:paraId="1F6F3350">
            <w:pPr>
              <w:keepNext w:val="0"/>
              <w:keepLines w:val="0"/>
              <w:widowControl/>
              <w:suppressLineNumbers w:val="0"/>
              <w:jc w:val="center"/>
              <w:textAlignment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shd w:val="clear" w:color="auto" w:fill="auto"/>
                <w:lang w:val="en-US" w:eastAsia="zh-CN" w:bidi="ar"/>
              </w:rPr>
              <w:t>PZG-XJZN-40AH/DC110V</w:t>
            </w:r>
          </w:p>
        </w:tc>
        <w:tc>
          <w:tcPr>
            <w:tcW w:w="1445" w:type="dxa"/>
            <w:tcBorders>
              <w:top w:val="nil"/>
              <w:left w:val="nil"/>
              <w:bottom w:val="single" w:color="auto" w:sz="4" w:space="0"/>
              <w:right w:val="single" w:color="auto" w:sz="4" w:space="0"/>
            </w:tcBorders>
            <w:shd w:val="clear" w:color="auto" w:fill="auto"/>
            <w:vAlign w:val="center"/>
          </w:tcPr>
          <w:p w14:paraId="2A0D5BC9">
            <w:pPr>
              <w:keepNext w:val="0"/>
              <w:keepLines w:val="0"/>
              <w:widowControl/>
              <w:suppressLineNumbers w:val="0"/>
              <w:jc w:val="center"/>
              <w:textAlignment w:val="center"/>
              <w:rPr>
                <w:rFonts w:hint="default"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shd w:val="clear" w:color="auto" w:fill="auto"/>
                <w:lang w:val="en-US" w:eastAsia="zh-CN" w:bidi="ar"/>
              </w:rPr>
              <w:t>套</w:t>
            </w:r>
          </w:p>
        </w:tc>
        <w:tc>
          <w:tcPr>
            <w:tcW w:w="1268" w:type="dxa"/>
            <w:tcBorders>
              <w:top w:val="nil"/>
              <w:left w:val="nil"/>
              <w:bottom w:val="single" w:color="auto" w:sz="4" w:space="0"/>
              <w:right w:val="single" w:color="auto" w:sz="4" w:space="0"/>
            </w:tcBorders>
            <w:shd w:val="clear" w:color="auto" w:fill="auto"/>
            <w:vAlign w:val="center"/>
          </w:tcPr>
          <w:p w14:paraId="267D85D1">
            <w:pPr>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color w:val="auto"/>
                <w:sz w:val="22"/>
                <w:szCs w:val="22"/>
                <w:highlight w:val="none"/>
                <w:shd w:val="clear" w:color="auto" w:fill="auto"/>
              </w:rPr>
              <w:t>1</w:t>
            </w:r>
          </w:p>
        </w:tc>
        <w:tc>
          <w:tcPr>
            <w:tcW w:w="1023" w:type="dxa"/>
            <w:tcBorders>
              <w:top w:val="nil"/>
              <w:left w:val="nil"/>
              <w:bottom w:val="single" w:color="auto" w:sz="4" w:space="0"/>
              <w:right w:val="single" w:color="auto" w:sz="4" w:space="0"/>
            </w:tcBorders>
            <w:shd w:val="clear" w:color="auto" w:fill="auto"/>
            <w:vAlign w:val="center"/>
          </w:tcPr>
          <w:p w14:paraId="0908383C">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500" w:type="dxa"/>
            <w:tcBorders>
              <w:top w:val="nil"/>
              <w:left w:val="nil"/>
              <w:bottom w:val="single" w:color="auto" w:sz="4" w:space="0"/>
              <w:right w:val="single" w:color="auto" w:sz="4" w:space="0"/>
            </w:tcBorders>
            <w:shd w:val="clear" w:color="auto" w:fill="auto"/>
            <w:vAlign w:val="center"/>
          </w:tcPr>
          <w:p w14:paraId="25BB37DA">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2A0A7CEC">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4CCBDDCC">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2X10A充电模块，微机监控，9块12V国产优质电池，1面柜体，8路直流馈线,含电池巡检、支路绝缘监测仪、双电源进线</w:t>
            </w:r>
          </w:p>
        </w:tc>
      </w:tr>
      <w:bookmarkEnd w:id="25"/>
      <w:tr w14:paraId="2C2E2D89">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48672A9">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2</w:t>
            </w:r>
          </w:p>
        </w:tc>
        <w:tc>
          <w:tcPr>
            <w:tcW w:w="2950" w:type="dxa"/>
            <w:tcBorders>
              <w:top w:val="nil"/>
              <w:left w:val="nil"/>
              <w:bottom w:val="single" w:color="auto" w:sz="4" w:space="0"/>
              <w:right w:val="single" w:color="auto" w:sz="4" w:space="0"/>
            </w:tcBorders>
            <w:shd w:val="clear" w:color="auto" w:fill="auto"/>
            <w:vAlign w:val="center"/>
          </w:tcPr>
          <w:p w14:paraId="205FA9F2">
            <w:pPr>
              <w:keepNext w:val="0"/>
              <w:keepLines w:val="0"/>
              <w:widowControl/>
              <w:suppressLineNumbers w:val="0"/>
              <w:jc w:val="center"/>
              <w:textAlignment w:val="center"/>
              <w:rPr>
                <w:rFonts w:hint="default"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shd w:val="clear" w:color="auto" w:fill="auto"/>
                <w:lang w:val="en-US" w:eastAsia="zh-CN" w:bidi="ar"/>
              </w:rPr>
              <w:t>PZG-XJZN-40AH/DC220V</w:t>
            </w:r>
          </w:p>
        </w:tc>
        <w:tc>
          <w:tcPr>
            <w:tcW w:w="1445" w:type="dxa"/>
            <w:tcBorders>
              <w:top w:val="nil"/>
              <w:left w:val="nil"/>
              <w:bottom w:val="single" w:color="auto" w:sz="4" w:space="0"/>
              <w:right w:val="single" w:color="auto" w:sz="4" w:space="0"/>
            </w:tcBorders>
            <w:shd w:val="clear" w:color="auto" w:fill="auto"/>
            <w:vAlign w:val="center"/>
          </w:tcPr>
          <w:p w14:paraId="26A9BB53">
            <w:pPr>
              <w:keepNext w:val="0"/>
              <w:keepLines w:val="0"/>
              <w:widowControl/>
              <w:suppressLineNumbers w:val="0"/>
              <w:jc w:val="center"/>
              <w:textAlignment w:val="center"/>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shd w:val="clear" w:color="auto" w:fill="auto"/>
                <w:lang w:val="en-US" w:eastAsia="zh-CN" w:bidi="ar"/>
              </w:rPr>
              <w:t>套</w:t>
            </w:r>
          </w:p>
        </w:tc>
        <w:tc>
          <w:tcPr>
            <w:tcW w:w="1268" w:type="dxa"/>
            <w:tcBorders>
              <w:top w:val="nil"/>
              <w:left w:val="nil"/>
              <w:bottom w:val="single" w:color="auto" w:sz="4" w:space="0"/>
              <w:right w:val="single" w:color="auto" w:sz="4" w:space="0"/>
            </w:tcBorders>
            <w:shd w:val="clear" w:color="auto" w:fill="auto"/>
            <w:vAlign w:val="center"/>
          </w:tcPr>
          <w:p w14:paraId="37CE9815">
            <w:pPr>
              <w:jc w:val="center"/>
              <w:rPr>
                <w:rFonts w:hint="eastAsia" w:ascii="宋体" w:hAnsi="宋体" w:eastAsia="宋体" w:cs="宋体"/>
                <w:color w:val="auto"/>
                <w:kern w:val="0"/>
                <w:sz w:val="22"/>
                <w:szCs w:val="22"/>
                <w:highlight w:val="none"/>
                <w:shd w:val="clear" w:color="auto" w:fill="auto"/>
                <w:lang w:val="en-US" w:eastAsia="zh-CN" w:bidi="ar-SA"/>
              </w:rPr>
            </w:pPr>
            <w:r>
              <w:rPr>
                <w:rFonts w:hint="eastAsia"/>
                <w:color w:val="auto"/>
                <w:sz w:val="22"/>
                <w:szCs w:val="22"/>
                <w:highlight w:val="none"/>
                <w:shd w:val="clear" w:color="auto" w:fill="auto"/>
              </w:rPr>
              <w:t>1</w:t>
            </w:r>
          </w:p>
        </w:tc>
        <w:tc>
          <w:tcPr>
            <w:tcW w:w="1023" w:type="dxa"/>
            <w:tcBorders>
              <w:top w:val="nil"/>
              <w:left w:val="nil"/>
              <w:bottom w:val="single" w:color="auto" w:sz="4" w:space="0"/>
              <w:right w:val="single" w:color="auto" w:sz="4" w:space="0"/>
            </w:tcBorders>
            <w:shd w:val="clear" w:color="auto" w:fill="auto"/>
            <w:vAlign w:val="center"/>
          </w:tcPr>
          <w:p w14:paraId="3E6FCE20">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500" w:type="dxa"/>
            <w:tcBorders>
              <w:top w:val="nil"/>
              <w:left w:val="nil"/>
              <w:bottom w:val="single" w:color="auto" w:sz="4" w:space="0"/>
              <w:right w:val="single" w:color="auto" w:sz="4" w:space="0"/>
            </w:tcBorders>
            <w:shd w:val="clear" w:color="auto" w:fill="auto"/>
            <w:vAlign w:val="center"/>
          </w:tcPr>
          <w:p w14:paraId="4A674541">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24371446">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0A77A3F6">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2X10A充电模块，微机监控，18块12V国产优质电池，2面柜体，8路直流馈线,含电池巡检、支路绝缘监测仪、双电源进线</w:t>
            </w:r>
          </w:p>
        </w:tc>
      </w:tr>
      <w:tr w14:paraId="439BEDC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1005D53">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3</w:t>
            </w:r>
          </w:p>
        </w:tc>
        <w:tc>
          <w:tcPr>
            <w:tcW w:w="2950" w:type="dxa"/>
            <w:tcBorders>
              <w:top w:val="nil"/>
              <w:left w:val="nil"/>
              <w:bottom w:val="single" w:color="auto" w:sz="4" w:space="0"/>
              <w:right w:val="single" w:color="auto" w:sz="4" w:space="0"/>
            </w:tcBorders>
            <w:shd w:val="clear" w:color="auto" w:fill="auto"/>
            <w:vAlign w:val="center"/>
          </w:tcPr>
          <w:p w14:paraId="032491AC">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PZG-XJZN-65AH/DC110V</w:t>
            </w:r>
          </w:p>
        </w:tc>
        <w:tc>
          <w:tcPr>
            <w:tcW w:w="1445" w:type="dxa"/>
            <w:tcBorders>
              <w:top w:val="nil"/>
              <w:left w:val="nil"/>
              <w:bottom w:val="single" w:color="auto" w:sz="4" w:space="0"/>
              <w:right w:val="single" w:color="auto" w:sz="4" w:space="0"/>
            </w:tcBorders>
            <w:shd w:val="clear" w:color="auto" w:fill="auto"/>
            <w:vAlign w:val="center"/>
          </w:tcPr>
          <w:p w14:paraId="471F34DB">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套</w:t>
            </w:r>
          </w:p>
        </w:tc>
        <w:tc>
          <w:tcPr>
            <w:tcW w:w="1268" w:type="dxa"/>
            <w:tcBorders>
              <w:top w:val="nil"/>
              <w:left w:val="nil"/>
              <w:bottom w:val="single" w:color="auto" w:sz="4" w:space="0"/>
              <w:right w:val="single" w:color="auto" w:sz="4" w:space="0"/>
            </w:tcBorders>
            <w:shd w:val="clear" w:color="auto" w:fill="auto"/>
            <w:vAlign w:val="center"/>
          </w:tcPr>
          <w:p w14:paraId="72342CE9">
            <w:pPr>
              <w:jc w:val="cente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1</w:t>
            </w:r>
          </w:p>
        </w:tc>
        <w:tc>
          <w:tcPr>
            <w:tcW w:w="1023" w:type="dxa"/>
            <w:tcBorders>
              <w:top w:val="nil"/>
              <w:left w:val="nil"/>
              <w:bottom w:val="single" w:color="auto" w:sz="4" w:space="0"/>
              <w:right w:val="single" w:color="auto" w:sz="4" w:space="0"/>
            </w:tcBorders>
            <w:shd w:val="clear" w:color="auto" w:fill="auto"/>
            <w:vAlign w:val="center"/>
          </w:tcPr>
          <w:p w14:paraId="08A062B5">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500" w:type="dxa"/>
            <w:tcBorders>
              <w:top w:val="nil"/>
              <w:left w:val="nil"/>
              <w:bottom w:val="single" w:color="auto" w:sz="4" w:space="0"/>
              <w:right w:val="single" w:color="auto" w:sz="4" w:space="0"/>
            </w:tcBorders>
            <w:shd w:val="clear" w:color="auto" w:fill="auto"/>
            <w:vAlign w:val="center"/>
          </w:tcPr>
          <w:p w14:paraId="629AE83E">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2BB9B7DF">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48482E22">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2X10A充电模块，微机监控，9块12V国产优质电池，2面柜体，10路直流馈线,含电池巡检、支路绝缘监测仪、双电源进线</w:t>
            </w:r>
          </w:p>
        </w:tc>
      </w:tr>
      <w:tr w14:paraId="71772D7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D8FFB97">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4</w:t>
            </w:r>
          </w:p>
        </w:tc>
        <w:tc>
          <w:tcPr>
            <w:tcW w:w="2950" w:type="dxa"/>
            <w:tcBorders>
              <w:top w:val="nil"/>
              <w:left w:val="nil"/>
              <w:bottom w:val="single" w:color="auto" w:sz="4" w:space="0"/>
              <w:right w:val="single" w:color="auto" w:sz="4" w:space="0"/>
            </w:tcBorders>
            <w:shd w:val="clear" w:color="auto" w:fill="auto"/>
            <w:vAlign w:val="center"/>
          </w:tcPr>
          <w:p w14:paraId="27685CCE">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PZG-XJZN-65AH/DC220V</w:t>
            </w:r>
          </w:p>
        </w:tc>
        <w:tc>
          <w:tcPr>
            <w:tcW w:w="1445" w:type="dxa"/>
            <w:tcBorders>
              <w:top w:val="nil"/>
              <w:left w:val="nil"/>
              <w:bottom w:val="single" w:color="auto" w:sz="4" w:space="0"/>
              <w:right w:val="single" w:color="auto" w:sz="4" w:space="0"/>
            </w:tcBorders>
            <w:shd w:val="clear" w:color="auto" w:fill="auto"/>
            <w:vAlign w:val="center"/>
          </w:tcPr>
          <w:p w14:paraId="25D7A6EB">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套</w:t>
            </w:r>
          </w:p>
        </w:tc>
        <w:tc>
          <w:tcPr>
            <w:tcW w:w="1268" w:type="dxa"/>
            <w:tcBorders>
              <w:top w:val="nil"/>
              <w:left w:val="nil"/>
              <w:bottom w:val="single" w:color="auto" w:sz="4" w:space="0"/>
              <w:right w:val="single" w:color="auto" w:sz="4" w:space="0"/>
            </w:tcBorders>
            <w:shd w:val="clear" w:color="auto" w:fill="auto"/>
            <w:vAlign w:val="center"/>
          </w:tcPr>
          <w:p w14:paraId="77E2BC1F">
            <w:pPr>
              <w:jc w:val="cente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1</w:t>
            </w:r>
          </w:p>
        </w:tc>
        <w:tc>
          <w:tcPr>
            <w:tcW w:w="1023" w:type="dxa"/>
            <w:tcBorders>
              <w:top w:val="nil"/>
              <w:left w:val="nil"/>
              <w:bottom w:val="single" w:color="auto" w:sz="4" w:space="0"/>
              <w:right w:val="single" w:color="auto" w:sz="4" w:space="0"/>
            </w:tcBorders>
            <w:shd w:val="clear" w:color="auto" w:fill="auto"/>
            <w:vAlign w:val="center"/>
          </w:tcPr>
          <w:p w14:paraId="4AEFB5F2">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500" w:type="dxa"/>
            <w:tcBorders>
              <w:top w:val="nil"/>
              <w:left w:val="nil"/>
              <w:bottom w:val="single" w:color="auto" w:sz="4" w:space="0"/>
              <w:right w:val="single" w:color="auto" w:sz="4" w:space="0"/>
            </w:tcBorders>
            <w:shd w:val="clear" w:color="auto" w:fill="auto"/>
            <w:vAlign w:val="center"/>
          </w:tcPr>
          <w:p w14:paraId="15FCB7C9">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52946C4F">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1852965F">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2X10A充电模块，微机监控，18块12V国产优质电池，2面柜体，10路直流馈线,含电池巡检、支路绝缘监测仪、双电源进线</w:t>
            </w:r>
          </w:p>
        </w:tc>
      </w:tr>
      <w:tr w14:paraId="4F14087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62DA478">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5</w:t>
            </w:r>
          </w:p>
        </w:tc>
        <w:tc>
          <w:tcPr>
            <w:tcW w:w="2950" w:type="dxa"/>
            <w:tcBorders>
              <w:top w:val="nil"/>
              <w:left w:val="nil"/>
              <w:bottom w:val="single" w:color="auto" w:sz="4" w:space="0"/>
              <w:right w:val="single" w:color="auto" w:sz="4" w:space="0"/>
            </w:tcBorders>
            <w:shd w:val="clear" w:color="auto" w:fill="auto"/>
            <w:vAlign w:val="center"/>
          </w:tcPr>
          <w:p w14:paraId="3C1DB032">
            <w:pPr>
              <w:keepNext w:val="0"/>
              <w:keepLines w:val="0"/>
              <w:widowControl/>
              <w:suppressLineNumbers w:val="0"/>
              <w:jc w:val="center"/>
              <w:textAlignment w:val="center"/>
              <w:rPr>
                <w:rFonts w:ascii="宋体" w:hAnsi="宋体" w:cs="宋体"/>
                <w:color w:val="auto"/>
                <w:kern w:val="0"/>
                <w:sz w:val="22"/>
                <w:szCs w:val="22"/>
                <w:highlight w:val="none"/>
                <w:shd w:val="clear" w:color="auto" w:fill="auto"/>
                <w:lang w:val="en-US"/>
              </w:rPr>
            </w:pPr>
            <w:r>
              <w:rPr>
                <w:rFonts w:hint="eastAsia" w:ascii="宋体" w:hAnsi="宋体" w:eastAsia="宋体" w:cs="宋体"/>
                <w:i w:val="0"/>
                <w:iCs w:val="0"/>
                <w:color w:val="auto"/>
                <w:kern w:val="0"/>
                <w:sz w:val="20"/>
                <w:szCs w:val="20"/>
                <w:highlight w:val="none"/>
                <w:u w:val="none"/>
                <w:shd w:val="clear" w:color="auto" w:fill="auto"/>
                <w:lang w:val="en-US" w:eastAsia="zh-CN" w:bidi="ar"/>
              </w:rPr>
              <w:t>PZG-XJZN-100AH/DC110V</w:t>
            </w:r>
          </w:p>
        </w:tc>
        <w:tc>
          <w:tcPr>
            <w:tcW w:w="1445" w:type="dxa"/>
            <w:tcBorders>
              <w:top w:val="nil"/>
              <w:left w:val="nil"/>
              <w:bottom w:val="single" w:color="auto" w:sz="4" w:space="0"/>
              <w:right w:val="single" w:color="auto" w:sz="4" w:space="0"/>
            </w:tcBorders>
            <w:shd w:val="clear" w:color="auto" w:fill="auto"/>
            <w:vAlign w:val="center"/>
          </w:tcPr>
          <w:p w14:paraId="732A0D0C">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套</w:t>
            </w:r>
          </w:p>
        </w:tc>
        <w:tc>
          <w:tcPr>
            <w:tcW w:w="1268" w:type="dxa"/>
            <w:tcBorders>
              <w:top w:val="nil"/>
              <w:left w:val="nil"/>
              <w:bottom w:val="single" w:color="auto" w:sz="4" w:space="0"/>
              <w:right w:val="single" w:color="auto" w:sz="4" w:space="0"/>
            </w:tcBorders>
            <w:shd w:val="clear" w:color="auto" w:fill="auto"/>
            <w:vAlign w:val="center"/>
          </w:tcPr>
          <w:p w14:paraId="30C94B5C">
            <w:pPr>
              <w:jc w:val="cente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1</w:t>
            </w:r>
          </w:p>
        </w:tc>
        <w:tc>
          <w:tcPr>
            <w:tcW w:w="1023" w:type="dxa"/>
            <w:tcBorders>
              <w:top w:val="nil"/>
              <w:left w:val="nil"/>
              <w:bottom w:val="single" w:color="auto" w:sz="4" w:space="0"/>
              <w:right w:val="single" w:color="auto" w:sz="4" w:space="0"/>
            </w:tcBorders>
            <w:shd w:val="clear" w:color="auto" w:fill="auto"/>
            <w:vAlign w:val="center"/>
          </w:tcPr>
          <w:p w14:paraId="7B06270A">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500" w:type="dxa"/>
            <w:tcBorders>
              <w:top w:val="nil"/>
              <w:left w:val="nil"/>
              <w:bottom w:val="single" w:color="auto" w:sz="4" w:space="0"/>
              <w:right w:val="single" w:color="auto" w:sz="4" w:space="0"/>
            </w:tcBorders>
            <w:shd w:val="clear" w:color="auto" w:fill="auto"/>
            <w:vAlign w:val="center"/>
          </w:tcPr>
          <w:p w14:paraId="116A713B">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6D8C828E">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76A8C88F">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3X10A充电模块，微机监控，9块12V国产优质电池，2面柜体，16路直流馈线,含电池巡检、支路绝缘监测仪、双电源进线</w:t>
            </w:r>
          </w:p>
        </w:tc>
      </w:tr>
      <w:tr w14:paraId="77D1D19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DB5961B">
            <w:pPr>
              <w:widowControl/>
              <w:jc w:val="center"/>
              <w:rPr>
                <w:rFonts w:ascii="宋体" w:hAnsi="宋体" w:cs="宋体"/>
                <w:color w:val="auto"/>
                <w:kern w:val="0"/>
                <w:sz w:val="22"/>
                <w:szCs w:val="22"/>
                <w:highlight w:val="none"/>
                <w:shd w:val="clear" w:color="auto" w:fill="auto"/>
              </w:rPr>
            </w:pPr>
            <w:bookmarkStart w:id="26" w:name="_GoBack" w:colFirst="7" w:colLast="7"/>
            <w:r>
              <w:rPr>
                <w:rFonts w:hint="eastAsia" w:ascii="宋体" w:hAnsi="宋体" w:cs="宋体"/>
                <w:color w:val="auto"/>
                <w:kern w:val="0"/>
                <w:sz w:val="22"/>
                <w:szCs w:val="22"/>
                <w:highlight w:val="none"/>
                <w:shd w:val="clear" w:color="auto" w:fill="auto"/>
              </w:rPr>
              <w:t>6</w:t>
            </w:r>
          </w:p>
        </w:tc>
        <w:tc>
          <w:tcPr>
            <w:tcW w:w="2950" w:type="dxa"/>
            <w:tcBorders>
              <w:top w:val="nil"/>
              <w:left w:val="nil"/>
              <w:bottom w:val="single" w:color="auto" w:sz="4" w:space="0"/>
              <w:right w:val="single" w:color="auto" w:sz="4" w:space="0"/>
            </w:tcBorders>
            <w:shd w:val="clear" w:color="auto" w:fill="auto"/>
            <w:vAlign w:val="center"/>
          </w:tcPr>
          <w:p w14:paraId="76272C90">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PZG-XJZN-100AH/DC220V</w:t>
            </w:r>
          </w:p>
        </w:tc>
        <w:tc>
          <w:tcPr>
            <w:tcW w:w="1445" w:type="dxa"/>
            <w:tcBorders>
              <w:top w:val="nil"/>
              <w:left w:val="nil"/>
              <w:bottom w:val="single" w:color="auto" w:sz="4" w:space="0"/>
              <w:right w:val="single" w:color="auto" w:sz="4" w:space="0"/>
            </w:tcBorders>
            <w:shd w:val="clear" w:color="auto" w:fill="auto"/>
            <w:vAlign w:val="center"/>
          </w:tcPr>
          <w:p w14:paraId="7DE19A59">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套</w:t>
            </w:r>
          </w:p>
        </w:tc>
        <w:tc>
          <w:tcPr>
            <w:tcW w:w="1268" w:type="dxa"/>
            <w:tcBorders>
              <w:top w:val="nil"/>
              <w:left w:val="nil"/>
              <w:bottom w:val="single" w:color="auto" w:sz="4" w:space="0"/>
              <w:right w:val="single" w:color="auto" w:sz="4" w:space="0"/>
            </w:tcBorders>
            <w:shd w:val="clear" w:color="auto" w:fill="auto"/>
            <w:vAlign w:val="center"/>
          </w:tcPr>
          <w:p w14:paraId="25596F7B">
            <w:pPr>
              <w:jc w:val="cente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1</w:t>
            </w:r>
          </w:p>
        </w:tc>
        <w:tc>
          <w:tcPr>
            <w:tcW w:w="1023" w:type="dxa"/>
            <w:tcBorders>
              <w:top w:val="nil"/>
              <w:left w:val="nil"/>
              <w:bottom w:val="single" w:color="auto" w:sz="4" w:space="0"/>
              <w:right w:val="single" w:color="auto" w:sz="4" w:space="0"/>
            </w:tcBorders>
            <w:shd w:val="clear" w:color="auto" w:fill="auto"/>
            <w:vAlign w:val="center"/>
          </w:tcPr>
          <w:p w14:paraId="4278ADAF">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500" w:type="dxa"/>
            <w:tcBorders>
              <w:top w:val="nil"/>
              <w:left w:val="nil"/>
              <w:bottom w:val="single" w:color="auto" w:sz="4" w:space="0"/>
              <w:right w:val="single" w:color="auto" w:sz="4" w:space="0"/>
            </w:tcBorders>
            <w:shd w:val="clear" w:color="auto" w:fill="auto"/>
            <w:vAlign w:val="center"/>
          </w:tcPr>
          <w:p w14:paraId="30CC715A">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0A708FD2">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0841F7EC">
            <w:pPr>
              <w:keepNext w:val="0"/>
              <w:keepLines w:val="0"/>
              <w:widowControl/>
              <w:suppressLineNumbers w:val="0"/>
              <w:jc w:val="center"/>
              <w:textAlignment w:val="center"/>
              <w:rPr>
                <w:rFonts w:ascii="宋体" w:hAnsi="宋体" w:cs="宋体"/>
                <w:color w:val="auto"/>
                <w:kern w:val="0"/>
                <w:sz w:val="22"/>
                <w:szCs w:val="22"/>
                <w:highlight w:val="none"/>
                <w:shd w:val="clear" w:color="auto" w:fill="auto"/>
              </w:rPr>
            </w:pPr>
            <w:r>
              <w:rPr>
                <w:rFonts w:hint="eastAsia" w:ascii="宋体" w:hAnsi="宋体" w:eastAsia="宋体" w:cs="宋体"/>
                <w:i w:val="0"/>
                <w:iCs w:val="0"/>
                <w:color w:val="auto"/>
                <w:kern w:val="0"/>
                <w:sz w:val="20"/>
                <w:szCs w:val="20"/>
                <w:highlight w:val="none"/>
                <w:u w:val="none"/>
                <w:shd w:val="clear" w:color="auto" w:fill="auto"/>
                <w:lang w:val="en-US" w:eastAsia="zh-CN" w:bidi="ar"/>
              </w:rPr>
              <w:t>3X10A充电模块，微机监控，18块12V国产优质电池，2面柜体，16路直流馈线,含电池巡检、支路绝缘监测仪、双电源进线</w:t>
            </w:r>
          </w:p>
        </w:tc>
      </w:tr>
      <w:tr w14:paraId="642D33E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8A3B647">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cs="宋体"/>
                <w:color w:val="auto"/>
                <w:kern w:val="0"/>
                <w:sz w:val="22"/>
                <w:szCs w:val="22"/>
                <w:highlight w:val="none"/>
                <w:shd w:val="clear" w:color="auto" w:fill="auto"/>
                <w:lang w:val="en-US" w:eastAsia="zh-CN"/>
              </w:rPr>
              <w:t>7</w:t>
            </w:r>
          </w:p>
        </w:tc>
        <w:tc>
          <w:tcPr>
            <w:tcW w:w="2950" w:type="dxa"/>
            <w:tcBorders>
              <w:top w:val="nil"/>
              <w:left w:val="nil"/>
              <w:bottom w:val="single" w:color="auto" w:sz="4" w:space="0"/>
              <w:right w:val="single" w:color="auto" w:sz="4" w:space="0"/>
            </w:tcBorders>
            <w:shd w:val="clear" w:color="auto" w:fill="auto"/>
            <w:vAlign w:val="center"/>
          </w:tcPr>
          <w:p w14:paraId="0C727465">
            <w:pPr>
              <w:widowControl/>
              <w:jc w:val="left"/>
              <w:rPr>
                <w:rFonts w:hint="eastAsia"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677DBDC4">
            <w:pPr>
              <w:jc w:val="center"/>
              <w:rPr>
                <w:rFonts w:hint="eastAsia" w:ascii="宋体" w:hAnsi="宋体" w:cs="宋体"/>
                <w:color w:val="auto"/>
                <w:kern w:val="0"/>
                <w:sz w:val="22"/>
                <w:szCs w:val="22"/>
                <w:highlight w:val="none"/>
                <w:shd w:val="clear" w:color="auto" w:fill="auto"/>
              </w:rPr>
            </w:pPr>
          </w:p>
        </w:tc>
        <w:tc>
          <w:tcPr>
            <w:tcW w:w="1268" w:type="dxa"/>
            <w:tcBorders>
              <w:top w:val="nil"/>
              <w:left w:val="nil"/>
              <w:bottom w:val="single" w:color="auto" w:sz="4" w:space="0"/>
              <w:right w:val="single" w:color="auto" w:sz="4" w:space="0"/>
            </w:tcBorders>
            <w:shd w:val="clear" w:color="auto" w:fill="auto"/>
            <w:vAlign w:val="center"/>
          </w:tcPr>
          <w:p w14:paraId="021199AE">
            <w:pPr>
              <w:jc w:val="center"/>
              <w:rPr>
                <w:rFonts w:hint="eastAsia" w:ascii="宋体" w:hAnsi="宋体" w:cs="宋体"/>
                <w:color w:val="auto"/>
                <w:kern w:val="0"/>
                <w:sz w:val="22"/>
                <w:szCs w:val="22"/>
                <w:highlight w:val="none"/>
                <w:shd w:val="clear" w:color="auto" w:fill="auto"/>
              </w:rPr>
            </w:pPr>
          </w:p>
        </w:tc>
        <w:tc>
          <w:tcPr>
            <w:tcW w:w="1023" w:type="dxa"/>
            <w:tcBorders>
              <w:top w:val="nil"/>
              <w:left w:val="nil"/>
              <w:bottom w:val="single" w:color="auto" w:sz="4" w:space="0"/>
              <w:right w:val="single" w:color="auto" w:sz="4" w:space="0"/>
            </w:tcBorders>
            <w:shd w:val="clear" w:color="auto" w:fill="auto"/>
            <w:vAlign w:val="center"/>
          </w:tcPr>
          <w:p w14:paraId="1832E50D">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667C0534">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6CA99EBC">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715E5603">
            <w:pPr>
              <w:widowControl/>
              <w:jc w:val="center"/>
              <w:rPr>
                <w:rFonts w:ascii="宋体" w:hAnsi="宋体" w:cs="宋体"/>
                <w:color w:val="auto"/>
                <w:kern w:val="0"/>
                <w:sz w:val="22"/>
                <w:szCs w:val="22"/>
                <w:highlight w:val="none"/>
                <w:shd w:val="clear" w:color="auto" w:fill="auto"/>
              </w:rPr>
            </w:pPr>
          </w:p>
        </w:tc>
      </w:tr>
      <w:tr w14:paraId="2C7A8ED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F0A5ECA">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cs="宋体"/>
                <w:color w:val="auto"/>
                <w:kern w:val="0"/>
                <w:sz w:val="22"/>
                <w:szCs w:val="22"/>
                <w:highlight w:val="none"/>
                <w:shd w:val="clear" w:color="auto" w:fill="auto"/>
                <w:lang w:val="en-US" w:eastAsia="zh-CN"/>
              </w:rPr>
              <w:t>8</w:t>
            </w:r>
          </w:p>
        </w:tc>
        <w:tc>
          <w:tcPr>
            <w:tcW w:w="2950" w:type="dxa"/>
            <w:tcBorders>
              <w:top w:val="nil"/>
              <w:left w:val="nil"/>
              <w:bottom w:val="single" w:color="auto" w:sz="4" w:space="0"/>
              <w:right w:val="single" w:color="auto" w:sz="4" w:space="0"/>
            </w:tcBorders>
            <w:shd w:val="clear" w:color="auto" w:fill="auto"/>
            <w:vAlign w:val="center"/>
          </w:tcPr>
          <w:p w14:paraId="23695AC2">
            <w:pPr>
              <w:widowControl/>
              <w:jc w:val="left"/>
              <w:rPr>
                <w:rFonts w:hint="eastAsia"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47C28E75">
            <w:pPr>
              <w:jc w:val="center"/>
              <w:rPr>
                <w:rFonts w:hint="eastAsia" w:ascii="宋体" w:hAnsi="宋体" w:cs="宋体"/>
                <w:color w:val="auto"/>
                <w:kern w:val="0"/>
                <w:sz w:val="22"/>
                <w:szCs w:val="22"/>
                <w:highlight w:val="none"/>
                <w:shd w:val="clear" w:color="auto" w:fill="auto"/>
              </w:rPr>
            </w:pPr>
          </w:p>
        </w:tc>
        <w:tc>
          <w:tcPr>
            <w:tcW w:w="1268" w:type="dxa"/>
            <w:tcBorders>
              <w:top w:val="nil"/>
              <w:left w:val="nil"/>
              <w:bottom w:val="single" w:color="auto" w:sz="4" w:space="0"/>
              <w:right w:val="single" w:color="auto" w:sz="4" w:space="0"/>
            </w:tcBorders>
            <w:shd w:val="clear" w:color="auto" w:fill="auto"/>
            <w:vAlign w:val="center"/>
          </w:tcPr>
          <w:p w14:paraId="3134D246">
            <w:pPr>
              <w:jc w:val="center"/>
              <w:rPr>
                <w:rFonts w:hint="eastAsia" w:ascii="宋体" w:hAnsi="宋体" w:cs="宋体"/>
                <w:color w:val="auto"/>
                <w:kern w:val="0"/>
                <w:sz w:val="22"/>
                <w:szCs w:val="22"/>
                <w:highlight w:val="none"/>
                <w:shd w:val="clear" w:color="auto" w:fill="auto"/>
              </w:rPr>
            </w:pPr>
          </w:p>
        </w:tc>
        <w:tc>
          <w:tcPr>
            <w:tcW w:w="1023" w:type="dxa"/>
            <w:tcBorders>
              <w:top w:val="nil"/>
              <w:left w:val="nil"/>
              <w:bottom w:val="single" w:color="auto" w:sz="4" w:space="0"/>
              <w:right w:val="single" w:color="auto" w:sz="4" w:space="0"/>
            </w:tcBorders>
            <w:shd w:val="clear" w:color="auto" w:fill="auto"/>
            <w:vAlign w:val="center"/>
          </w:tcPr>
          <w:p w14:paraId="30B5B315">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0CE283A9">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6D865FDD">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2420421E">
            <w:pPr>
              <w:widowControl/>
              <w:jc w:val="center"/>
              <w:rPr>
                <w:rFonts w:ascii="宋体" w:hAnsi="宋体" w:cs="宋体"/>
                <w:color w:val="auto"/>
                <w:kern w:val="0"/>
                <w:sz w:val="22"/>
                <w:szCs w:val="22"/>
                <w:highlight w:val="none"/>
                <w:shd w:val="clear" w:color="auto" w:fill="auto"/>
              </w:rPr>
            </w:pPr>
          </w:p>
        </w:tc>
      </w:tr>
      <w:tr w14:paraId="0D76AB8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7921B2A">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cs="宋体"/>
                <w:color w:val="auto"/>
                <w:kern w:val="0"/>
                <w:sz w:val="22"/>
                <w:szCs w:val="22"/>
                <w:highlight w:val="none"/>
                <w:shd w:val="clear" w:color="auto" w:fill="auto"/>
                <w:lang w:val="en-US" w:eastAsia="zh-CN"/>
              </w:rPr>
              <w:t>9</w:t>
            </w:r>
          </w:p>
        </w:tc>
        <w:tc>
          <w:tcPr>
            <w:tcW w:w="2950" w:type="dxa"/>
            <w:tcBorders>
              <w:top w:val="nil"/>
              <w:left w:val="nil"/>
              <w:bottom w:val="single" w:color="auto" w:sz="4" w:space="0"/>
              <w:right w:val="single" w:color="auto" w:sz="4" w:space="0"/>
            </w:tcBorders>
            <w:shd w:val="clear" w:color="auto" w:fill="auto"/>
            <w:vAlign w:val="center"/>
          </w:tcPr>
          <w:p w14:paraId="409DAFF9">
            <w:pPr>
              <w:widowControl/>
              <w:jc w:val="left"/>
              <w:rPr>
                <w:rFonts w:hint="default"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1D66B170">
            <w:pPr>
              <w:widowControl/>
              <w:jc w:val="center"/>
              <w:rPr>
                <w:rFonts w:hint="eastAsia" w:ascii="宋体" w:hAnsi="宋体" w:eastAsia="宋体" w:cs="宋体"/>
                <w:color w:val="auto"/>
                <w:kern w:val="0"/>
                <w:sz w:val="22"/>
                <w:szCs w:val="22"/>
                <w:highlight w:val="none"/>
                <w:shd w:val="clear" w:color="auto" w:fill="auto"/>
                <w:lang w:val="en-US" w:eastAsia="zh-CN"/>
              </w:rPr>
            </w:pPr>
          </w:p>
        </w:tc>
        <w:tc>
          <w:tcPr>
            <w:tcW w:w="1268" w:type="dxa"/>
            <w:tcBorders>
              <w:top w:val="nil"/>
              <w:left w:val="nil"/>
              <w:bottom w:val="single" w:color="auto" w:sz="4" w:space="0"/>
              <w:right w:val="single" w:color="auto" w:sz="4" w:space="0"/>
            </w:tcBorders>
            <w:shd w:val="clear" w:color="auto" w:fill="auto"/>
            <w:vAlign w:val="center"/>
          </w:tcPr>
          <w:p w14:paraId="2FEB2CB7">
            <w:pPr>
              <w:widowControl/>
              <w:jc w:val="center"/>
              <w:rPr>
                <w:rFonts w:hint="eastAsia" w:ascii="宋体" w:hAnsi="宋体" w:eastAsia="宋体" w:cs="宋体"/>
                <w:color w:val="auto"/>
                <w:kern w:val="0"/>
                <w:sz w:val="22"/>
                <w:szCs w:val="22"/>
                <w:highlight w:val="none"/>
                <w:shd w:val="clear" w:color="auto" w:fill="auto"/>
                <w:lang w:val="en-US" w:eastAsia="zh-CN"/>
              </w:rPr>
            </w:pPr>
          </w:p>
        </w:tc>
        <w:tc>
          <w:tcPr>
            <w:tcW w:w="1023" w:type="dxa"/>
            <w:tcBorders>
              <w:top w:val="nil"/>
              <w:left w:val="nil"/>
              <w:bottom w:val="single" w:color="auto" w:sz="4" w:space="0"/>
              <w:right w:val="single" w:color="auto" w:sz="4" w:space="0"/>
            </w:tcBorders>
            <w:shd w:val="clear" w:color="auto" w:fill="auto"/>
            <w:vAlign w:val="center"/>
          </w:tcPr>
          <w:p w14:paraId="0C078BDC">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75B19E91">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0F28E16B">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3B532229">
            <w:pPr>
              <w:widowControl/>
              <w:jc w:val="center"/>
              <w:rPr>
                <w:rFonts w:ascii="宋体" w:hAnsi="宋体" w:cs="宋体"/>
                <w:color w:val="auto"/>
                <w:kern w:val="0"/>
                <w:sz w:val="22"/>
                <w:szCs w:val="22"/>
                <w:highlight w:val="none"/>
                <w:shd w:val="clear" w:color="auto" w:fill="auto"/>
              </w:rPr>
            </w:pPr>
          </w:p>
        </w:tc>
      </w:tr>
      <w:tr w14:paraId="5131D631">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963ACCC">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cs="宋体"/>
                <w:color w:val="auto"/>
                <w:kern w:val="0"/>
                <w:sz w:val="22"/>
                <w:szCs w:val="22"/>
                <w:highlight w:val="none"/>
                <w:shd w:val="clear" w:color="auto" w:fill="auto"/>
                <w:lang w:val="en-US" w:eastAsia="zh-CN"/>
              </w:rPr>
              <w:t>10</w:t>
            </w:r>
          </w:p>
        </w:tc>
        <w:tc>
          <w:tcPr>
            <w:tcW w:w="2950" w:type="dxa"/>
            <w:tcBorders>
              <w:top w:val="nil"/>
              <w:left w:val="nil"/>
              <w:bottom w:val="single" w:color="auto" w:sz="4" w:space="0"/>
              <w:right w:val="single" w:color="auto" w:sz="4" w:space="0"/>
            </w:tcBorders>
            <w:shd w:val="clear" w:color="auto" w:fill="auto"/>
            <w:vAlign w:val="center"/>
          </w:tcPr>
          <w:p w14:paraId="60DB4F6B">
            <w:pPr>
              <w:widowControl/>
              <w:jc w:val="left"/>
              <w:rPr>
                <w:rFonts w:hint="default"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0774BA07">
            <w:pPr>
              <w:widowControl/>
              <w:jc w:val="center"/>
              <w:rPr>
                <w:rFonts w:hint="eastAsia" w:ascii="宋体" w:hAnsi="宋体" w:cs="宋体"/>
                <w:color w:val="auto"/>
                <w:kern w:val="0"/>
                <w:sz w:val="22"/>
                <w:szCs w:val="22"/>
                <w:highlight w:val="none"/>
                <w:shd w:val="clear" w:color="auto" w:fill="auto"/>
              </w:rPr>
            </w:pPr>
          </w:p>
        </w:tc>
        <w:tc>
          <w:tcPr>
            <w:tcW w:w="1268" w:type="dxa"/>
            <w:tcBorders>
              <w:top w:val="nil"/>
              <w:left w:val="nil"/>
              <w:bottom w:val="single" w:color="auto" w:sz="4" w:space="0"/>
              <w:right w:val="single" w:color="auto" w:sz="4" w:space="0"/>
            </w:tcBorders>
            <w:shd w:val="clear" w:color="auto" w:fill="auto"/>
            <w:vAlign w:val="center"/>
          </w:tcPr>
          <w:p w14:paraId="7E6A2A9B">
            <w:pPr>
              <w:widowControl/>
              <w:jc w:val="center"/>
              <w:rPr>
                <w:rFonts w:hint="eastAsia" w:ascii="宋体" w:hAnsi="宋体" w:cs="宋体"/>
                <w:color w:val="auto"/>
                <w:kern w:val="0"/>
                <w:sz w:val="22"/>
                <w:szCs w:val="22"/>
                <w:highlight w:val="none"/>
                <w:shd w:val="clear" w:color="auto" w:fill="auto"/>
              </w:rPr>
            </w:pPr>
          </w:p>
        </w:tc>
        <w:tc>
          <w:tcPr>
            <w:tcW w:w="1023" w:type="dxa"/>
            <w:tcBorders>
              <w:top w:val="nil"/>
              <w:left w:val="nil"/>
              <w:bottom w:val="single" w:color="auto" w:sz="4" w:space="0"/>
              <w:right w:val="single" w:color="auto" w:sz="4" w:space="0"/>
            </w:tcBorders>
            <w:shd w:val="clear" w:color="auto" w:fill="auto"/>
            <w:vAlign w:val="center"/>
          </w:tcPr>
          <w:p w14:paraId="45B0EC0D">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2C5E0CAA">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515CE6A5">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43C4FAFB">
            <w:pPr>
              <w:widowControl/>
              <w:jc w:val="center"/>
              <w:rPr>
                <w:rFonts w:ascii="宋体" w:hAnsi="宋体" w:cs="宋体"/>
                <w:color w:val="auto"/>
                <w:kern w:val="0"/>
                <w:sz w:val="22"/>
                <w:szCs w:val="22"/>
                <w:highlight w:val="none"/>
                <w:shd w:val="clear" w:color="auto" w:fill="auto"/>
              </w:rPr>
            </w:pPr>
          </w:p>
        </w:tc>
      </w:tr>
      <w:tr w14:paraId="34CE503C">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71E7C18">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cs="宋体"/>
                <w:color w:val="auto"/>
                <w:kern w:val="0"/>
                <w:sz w:val="22"/>
                <w:szCs w:val="22"/>
                <w:highlight w:val="none"/>
                <w:shd w:val="clear" w:color="auto" w:fill="auto"/>
                <w:lang w:val="en-US" w:eastAsia="zh-CN"/>
              </w:rPr>
              <w:t>11</w:t>
            </w:r>
          </w:p>
        </w:tc>
        <w:tc>
          <w:tcPr>
            <w:tcW w:w="2950" w:type="dxa"/>
            <w:tcBorders>
              <w:top w:val="nil"/>
              <w:left w:val="nil"/>
              <w:bottom w:val="single" w:color="auto" w:sz="4" w:space="0"/>
              <w:right w:val="single" w:color="auto" w:sz="4" w:space="0"/>
            </w:tcBorders>
            <w:shd w:val="clear" w:color="auto" w:fill="auto"/>
            <w:vAlign w:val="center"/>
          </w:tcPr>
          <w:p w14:paraId="4F59AD84">
            <w:pPr>
              <w:widowControl/>
              <w:jc w:val="left"/>
              <w:rPr>
                <w:rFonts w:hint="eastAsia"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6A017F2B">
            <w:pPr>
              <w:widowControl/>
              <w:jc w:val="center"/>
              <w:rPr>
                <w:rFonts w:hint="eastAsia" w:ascii="宋体" w:hAnsi="宋体" w:cs="宋体"/>
                <w:color w:val="auto"/>
                <w:kern w:val="0"/>
                <w:sz w:val="22"/>
                <w:szCs w:val="22"/>
                <w:highlight w:val="none"/>
                <w:shd w:val="clear" w:color="auto" w:fill="auto"/>
              </w:rPr>
            </w:pPr>
          </w:p>
        </w:tc>
        <w:tc>
          <w:tcPr>
            <w:tcW w:w="1268" w:type="dxa"/>
            <w:tcBorders>
              <w:top w:val="nil"/>
              <w:left w:val="nil"/>
              <w:bottom w:val="single" w:color="auto" w:sz="4" w:space="0"/>
              <w:right w:val="single" w:color="auto" w:sz="4" w:space="0"/>
            </w:tcBorders>
            <w:shd w:val="clear" w:color="auto" w:fill="auto"/>
            <w:vAlign w:val="center"/>
          </w:tcPr>
          <w:p w14:paraId="15D44F1C">
            <w:pPr>
              <w:widowControl/>
              <w:jc w:val="center"/>
              <w:rPr>
                <w:rFonts w:hint="eastAsia" w:ascii="宋体" w:hAnsi="宋体" w:cs="宋体"/>
                <w:color w:val="auto"/>
                <w:kern w:val="0"/>
                <w:sz w:val="22"/>
                <w:szCs w:val="22"/>
                <w:highlight w:val="none"/>
                <w:shd w:val="clear" w:color="auto" w:fill="auto"/>
              </w:rPr>
            </w:pPr>
          </w:p>
        </w:tc>
        <w:tc>
          <w:tcPr>
            <w:tcW w:w="1023" w:type="dxa"/>
            <w:tcBorders>
              <w:top w:val="nil"/>
              <w:left w:val="nil"/>
              <w:bottom w:val="single" w:color="auto" w:sz="4" w:space="0"/>
              <w:right w:val="single" w:color="auto" w:sz="4" w:space="0"/>
            </w:tcBorders>
            <w:shd w:val="clear" w:color="auto" w:fill="auto"/>
            <w:vAlign w:val="center"/>
          </w:tcPr>
          <w:p w14:paraId="207D37EF">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12E5D4B6">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3FA064BB">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7D9E4F79">
            <w:pPr>
              <w:widowControl/>
              <w:jc w:val="center"/>
              <w:rPr>
                <w:rFonts w:ascii="宋体" w:hAnsi="宋体" w:cs="宋体"/>
                <w:color w:val="auto"/>
                <w:kern w:val="0"/>
                <w:sz w:val="22"/>
                <w:szCs w:val="22"/>
                <w:highlight w:val="none"/>
                <w:shd w:val="clear" w:color="auto" w:fill="auto"/>
              </w:rPr>
            </w:pPr>
          </w:p>
        </w:tc>
      </w:tr>
      <w:tr w14:paraId="4EA744A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512BC3A">
            <w:pPr>
              <w:widowControl/>
              <w:jc w:val="center"/>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cs="宋体"/>
                <w:color w:val="auto"/>
                <w:kern w:val="0"/>
                <w:sz w:val="22"/>
                <w:szCs w:val="22"/>
                <w:highlight w:val="none"/>
                <w:shd w:val="clear" w:color="auto" w:fill="auto"/>
                <w:lang w:val="en-US" w:eastAsia="zh-CN"/>
              </w:rPr>
              <w:t>12</w:t>
            </w:r>
          </w:p>
        </w:tc>
        <w:tc>
          <w:tcPr>
            <w:tcW w:w="2950" w:type="dxa"/>
            <w:tcBorders>
              <w:top w:val="nil"/>
              <w:left w:val="nil"/>
              <w:bottom w:val="single" w:color="auto" w:sz="4" w:space="0"/>
              <w:right w:val="single" w:color="auto" w:sz="4" w:space="0"/>
            </w:tcBorders>
            <w:shd w:val="clear" w:color="auto" w:fill="auto"/>
            <w:vAlign w:val="center"/>
          </w:tcPr>
          <w:p w14:paraId="198DDADC">
            <w:pPr>
              <w:widowControl/>
              <w:jc w:val="left"/>
              <w:rPr>
                <w:rFonts w:hint="eastAsia"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40EAE70F">
            <w:pPr>
              <w:widowControl/>
              <w:jc w:val="center"/>
              <w:rPr>
                <w:rFonts w:hint="eastAsia" w:ascii="宋体" w:hAnsi="宋体" w:cs="宋体"/>
                <w:color w:val="auto"/>
                <w:kern w:val="0"/>
                <w:sz w:val="22"/>
                <w:szCs w:val="22"/>
                <w:highlight w:val="none"/>
                <w:shd w:val="clear" w:color="auto" w:fill="auto"/>
              </w:rPr>
            </w:pPr>
          </w:p>
        </w:tc>
        <w:tc>
          <w:tcPr>
            <w:tcW w:w="1268" w:type="dxa"/>
            <w:tcBorders>
              <w:top w:val="nil"/>
              <w:left w:val="nil"/>
              <w:bottom w:val="single" w:color="auto" w:sz="4" w:space="0"/>
              <w:right w:val="single" w:color="auto" w:sz="4" w:space="0"/>
            </w:tcBorders>
            <w:shd w:val="clear" w:color="auto" w:fill="auto"/>
            <w:vAlign w:val="center"/>
          </w:tcPr>
          <w:p w14:paraId="59687D9B">
            <w:pPr>
              <w:widowControl/>
              <w:jc w:val="center"/>
              <w:rPr>
                <w:rFonts w:hint="eastAsia" w:ascii="宋体" w:hAnsi="宋体" w:cs="宋体"/>
                <w:color w:val="auto"/>
                <w:kern w:val="0"/>
                <w:sz w:val="22"/>
                <w:szCs w:val="22"/>
                <w:highlight w:val="none"/>
                <w:shd w:val="clear" w:color="auto" w:fill="auto"/>
              </w:rPr>
            </w:pPr>
          </w:p>
        </w:tc>
        <w:tc>
          <w:tcPr>
            <w:tcW w:w="1023" w:type="dxa"/>
            <w:tcBorders>
              <w:top w:val="nil"/>
              <w:left w:val="nil"/>
              <w:bottom w:val="single" w:color="auto" w:sz="4" w:space="0"/>
              <w:right w:val="single" w:color="auto" w:sz="4" w:space="0"/>
            </w:tcBorders>
            <w:shd w:val="clear" w:color="auto" w:fill="auto"/>
            <w:vAlign w:val="center"/>
          </w:tcPr>
          <w:p w14:paraId="009C372A">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786126EB">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39368E3F">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0667F69D">
            <w:pPr>
              <w:widowControl/>
              <w:jc w:val="left"/>
              <w:rPr>
                <w:rFonts w:ascii="宋体" w:hAnsi="宋体" w:cs="宋体"/>
                <w:color w:val="auto"/>
                <w:kern w:val="0"/>
                <w:sz w:val="22"/>
                <w:szCs w:val="22"/>
                <w:highlight w:val="none"/>
                <w:shd w:val="clear" w:color="auto" w:fill="auto"/>
              </w:rPr>
            </w:pPr>
          </w:p>
        </w:tc>
      </w:tr>
      <w:tr w14:paraId="232BB9D9">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9FB9BDE">
            <w:pPr>
              <w:widowControl/>
              <w:jc w:val="center"/>
              <w:rPr>
                <w:rFonts w:hint="eastAsia" w:ascii="宋体" w:hAnsi="宋体" w:cs="宋体"/>
                <w:color w:val="auto"/>
                <w:kern w:val="0"/>
                <w:sz w:val="22"/>
                <w:szCs w:val="22"/>
                <w:highlight w:val="none"/>
                <w:shd w:val="clear" w:color="auto" w:fill="auto"/>
              </w:rPr>
            </w:pPr>
          </w:p>
        </w:tc>
        <w:tc>
          <w:tcPr>
            <w:tcW w:w="2950" w:type="dxa"/>
            <w:tcBorders>
              <w:top w:val="nil"/>
              <w:left w:val="nil"/>
              <w:bottom w:val="single" w:color="auto" w:sz="4" w:space="0"/>
              <w:right w:val="single" w:color="auto" w:sz="4" w:space="0"/>
            </w:tcBorders>
            <w:shd w:val="clear" w:color="auto" w:fill="auto"/>
            <w:vAlign w:val="center"/>
          </w:tcPr>
          <w:p w14:paraId="1CA3B6C4">
            <w:pPr>
              <w:widowControl/>
              <w:jc w:val="left"/>
              <w:rPr>
                <w:rFonts w:hint="eastAsia" w:ascii="宋体" w:hAnsi="宋体" w:cs="宋体"/>
                <w:color w:val="auto"/>
                <w:kern w:val="0"/>
                <w:sz w:val="22"/>
                <w:szCs w:val="22"/>
                <w:highlight w:val="none"/>
                <w:shd w:val="clear" w:color="auto" w:fill="auto"/>
                <w:lang w:val="en-US" w:eastAsia="zh-CN"/>
              </w:rPr>
            </w:pPr>
          </w:p>
        </w:tc>
        <w:tc>
          <w:tcPr>
            <w:tcW w:w="1445" w:type="dxa"/>
            <w:tcBorders>
              <w:top w:val="nil"/>
              <w:left w:val="nil"/>
              <w:bottom w:val="single" w:color="auto" w:sz="4" w:space="0"/>
              <w:right w:val="single" w:color="auto" w:sz="4" w:space="0"/>
            </w:tcBorders>
            <w:shd w:val="clear" w:color="auto" w:fill="auto"/>
            <w:vAlign w:val="center"/>
          </w:tcPr>
          <w:p w14:paraId="431C0BB6">
            <w:pPr>
              <w:widowControl/>
              <w:jc w:val="center"/>
              <w:rPr>
                <w:rFonts w:hint="eastAsia" w:ascii="宋体" w:hAnsi="宋体" w:cs="宋体"/>
                <w:color w:val="auto"/>
                <w:kern w:val="0"/>
                <w:sz w:val="22"/>
                <w:szCs w:val="22"/>
                <w:highlight w:val="none"/>
                <w:shd w:val="clear" w:color="auto" w:fill="auto"/>
              </w:rPr>
            </w:pPr>
          </w:p>
        </w:tc>
        <w:tc>
          <w:tcPr>
            <w:tcW w:w="1268" w:type="dxa"/>
            <w:tcBorders>
              <w:top w:val="nil"/>
              <w:left w:val="nil"/>
              <w:bottom w:val="single" w:color="auto" w:sz="4" w:space="0"/>
              <w:right w:val="single" w:color="auto" w:sz="4" w:space="0"/>
            </w:tcBorders>
            <w:shd w:val="clear" w:color="auto" w:fill="auto"/>
            <w:vAlign w:val="center"/>
          </w:tcPr>
          <w:p w14:paraId="36283BEB">
            <w:pPr>
              <w:widowControl/>
              <w:jc w:val="center"/>
              <w:rPr>
                <w:rFonts w:hint="eastAsia" w:ascii="宋体" w:hAnsi="宋体" w:cs="宋体"/>
                <w:color w:val="auto"/>
                <w:kern w:val="0"/>
                <w:sz w:val="22"/>
                <w:szCs w:val="22"/>
                <w:highlight w:val="none"/>
                <w:shd w:val="clear" w:color="auto" w:fill="auto"/>
              </w:rPr>
            </w:pPr>
          </w:p>
        </w:tc>
        <w:tc>
          <w:tcPr>
            <w:tcW w:w="1023" w:type="dxa"/>
            <w:tcBorders>
              <w:top w:val="nil"/>
              <w:left w:val="nil"/>
              <w:bottom w:val="single" w:color="auto" w:sz="4" w:space="0"/>
              <w:right w:val="single" w:color="auto" w:sz="4" w:space="0"/>
            </w:tcBorders>
            <w:shd w:val="clear" w:color="auto" w:fill="auto"/>
            <w:vAlign w:val="center"/>
          </w:tcPr>
          <w:p w14:paraId="70A90E2D">
            <w:pPr>
              <w:widowControl/>
              <w:jc w:val="left"/>
              <w:rPr>
                <w:rFonts w:hint="eastAsia" w:ascii="宋体" w:hAnsi="宋体" w:cs="宋体"/>
                <w:color w:val="auto"/>
                <w:kern w:val="0"/>
                <w:sz w:val="22"/>
                <w:szCs w:val="22"/>
                <w:highlight w:val="none"/>
                <w:shd w:val="clear" w:color="auto" w:fill="auto"/>
              </w:rPr>
            </w:pPr>
          </w:p>
        </w:tc>
        <w:tc>
          <w:tcPr>
            <w:tcW w:w="1500" w:type="dxa"/>
            <w:tcBorders>
              <w:top w:val="nil"/>
              <w:left w:val="nil"/>
              <w:bottom w:val="single" w:color="auto" w:sz="4" w:space="0"/>
              <w:right w:val="single" w:color="auto" w:sz="4" w:space="0"/>
            </w:tcBorders>
            <w:shd w:val="clear" w:color="auto" w:fill="auto"/>
            <w:vAlign w:val="center"/>
          </w:tcPr>
          <w:p w14:paraId="323B15DE">
            <w:pPr>
              <w:widowControl/>
              <w:jc w:val="left"/>
              <w:rPr>
                <w:rFonts w:ascii="宋体" w:hAnsi="宋体" w:cs="宋体"/>
                <w:color w:val="auto"/>
                <w:kern w:val="0"/>
                <w:sz w:val="22"/>
                <w:szCs w:val="22"/>
                <w:highlight w:val="none"/>
                <w:shd w:val="clear" w:color="auto" w:fill="auto"/>
              </w:rPr>
            </w:pPr>
          </w:p>
        </w:tc>
        <w:tc>
          <w:tcPr>
            <w:tcW w:w="1309" w:type="dxa"/>
            <w:tcBorders>
              <w:top w:val="nil"/>
              <w:left w:val="nil"/>
              <w:bottom w:val="single" w:color="auto" w:sz="4" w:space="0"/>
              <w:right w:val="single" w:color="auto" w:sz="4" w:space="0"/>
            </w:tcBorders>
            <w:shd w:val="clear" w:color="auto" w:fill="auto"/>
            <w:vAlign w:val="center"/>
          </w:tcPr>
          <w:p w14:paraId="1989FB2E">
            <w:pPr>
              <w:widowControl/>
              <w:jc w:val="left"/>
              <w:rPr>
                <w:rFonts w:ascii="宋体" w:hAnsi="宋体" w:cs="宋体"/>
                <w:color w:val="auto"/>
                <w:kern w:val="0"/>
                <w:sz w:val="22"/>
                <w:szCs w:val="22"/>
                <w:highlight w:val="none"/>
                <w:shd w:val="clear" w:color="auto" w:fill="auto"/>
              </w:rPr>
            </w:pPr>
          </w:p>
        </w:tc>
        <w:tc>
          <w:tcPr>
            <w:tcW w:w="2846" w:type="dxa"/>
            <w:tcBorders>
              <w:top w:val="nil"/>
              <w:left w:val="nil"/>
              <w:bottom w:val="single" w:color="auto" w:sz="4" w:space="0"/>
              <w:right w:val="single" w:color="auto" w:sz="4" w:space="0"/>
            </w:tcBorders>
            <w:shd w:val="clear" w:color="auto" w:fill="auto"/>
            <w:vAlign w:val="center"/>
          </w:tcPr>
          <w:p w14:paraId="59188034">
            <w:pPr>
              <w:widowControl/>
              <w:jc w:val="left"/>
              <w:rPr>
                <w:rFonts w:ascii="宋体" w:hAnsi="宋体" w:cs="宋体"/>
                <w:color w:val="auto"/>
                <w:kern w:val="0"/>
                <w:sz w:val="22"/>
                <w:szCs w:val="22"/>
                <w:highlight w:val="none"/>
                <w:shd w:val="clear" w:color="auto" w:fill="auto"/>
              </w:rPr>
            </w:pPr>
          </w:p>
        </w:tc>
      </w:tr>
      <w:tr w14:paraId="53B4F9D2">
        <w:tblPrEx>
          <w:tblCellMar>
            <w:top w:w="0" w:type="dxa"/>
            <w:left w:w="108" w:type="dxa"/>
            <w:bottom w:w="0" w:type="dxa"/>
            <w:right w:w="108" w:type="dxa"/>
          </w:tblCellMar>
        </w:tblPrEx>
        <w:trPr>
          <w:trHeight w:val="270" w:hRule="atLeast"/>
        </w:trPr>
        <w:tc>
          <w:tcPr>
            <w:tcW w:w="740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F6970DA">
            <w:pPr>
              <w:widowControl/>
              <w:jc w:val="center"/>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总计</w:t>
            </w:r>
          </w:p>
        </w:tc>
        <w:tc>
          <w:tcPr>
            <w:tcW w:w="1500" w:type="dxa"/>
            <w:tcBorders>
              <w:top w:val="nil"/>
              <w:left w:val="nil"/>
              <w:bottom w:val="single" w:color="auto" w:sz="4" w:space="0"/>
              <w:right w:val="single" w:color="auto" w:sz="4" w:space="0"/>
            </w:tcBorders>
            <w:shd w:val="clear" w:color="auto" w:fill="auto"/>
            <w:vAlign w:val="center"/>
          </w:tcPr>
          <w:p w14:paraId="469B7913">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1309" w:type="dxa"/>
            <w:tcBorders>
              <w:top w:val="nil"/>
              <w:left w:val="nil"/>
              <w:bottom w:val="single" w:color="auto" w:sz="4" w:space="0"/>
              <w:right w:val="single" w:color="auto" w:sz="4" w:space="0"/>
            </w:tcBorders>
            <w:shd w:val="clear" w:color="auto" w:fill="auto"/>
            <w:vAlign w:val="center"/>
          </w:tcPr>
          <w:p w14:paraId="4F5D9003">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2846" w:type="dxa"/>
            <w:tcBorders>
              <w:top w:val="nil"/>
              <w:left w:val="nil"/>
              <w:bottom w:val="single" w:color="auto" w:sz="4" w:space="0"/>
              <w:right w:val="single" w:color="auto" w:sz="4" w:space="0"/>
            </w:tcBorders>
            <w:shd w:val="clear" w:color="auto" w:fill="auto"/>
            <w:vAlign w:val="center"/>
          </w:tcPr>
          <w:p w14:paraId="35F95697">
            <w:pPr>
              <w:widowControl/>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r>
      <w:tr w14:paraId="04FF6FE4">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0BB7BAFE">
            <w:pP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说明：1、投标单位需严格按照此格式进行报价。</w:t>
            </w:r>
          </w:p>
        </w:tc>
      </w:tr>
      <w:tr w14:paraId="6A9AF86F">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A103120">
            <w:pP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2、投标人需要根据表格容量进行报价，单个产品合计价格须与报价汇总表单价保持一致。</w:t>
            </w:r>
          </w:p>
        </w:tc>
      </w:tr>
      <w:tr w14:paraId="41A79920">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BE40C10">
            <w:pPr>
              <w:rPr>
                <w:rFonts w:ascii="宋体" w:hAnsi="宋体" w:cs="宋体"/>
                <w:color w:val="auto"/>
                <w:kern w:val="0"/>
                <w:sz w:val="22"/>
                <w:szCs w:val="22"/>
                <w:highlight w:val="none"/>
                <w:shd w:val="clear" w:color="auto" w:fill="auto"/>
              </w:rPr>
            </w:pPr>
            <w:r>
              <w:rPr>
                <w:rFonts w:hint="eastAsia"/>
                <w:color w:val="auto"/>
                <w:sz w:val="22"/>
                <w:szCs w:val="22"/>
                <w:highlight w:val="none"/>
                <w:shd w:val="clear" w:color="auto" w:fill="auto"/>
              </w:rPr>
              <w:t>3、本招标为年度框架招标，本报价仅列出常用型号，用户报价时需提供产品样本及价格表，如采购时产生不在本报价型号的产品型号，则产品单价将按对应中标金额与面价表比例进行计算。</w:t>
            </w:r>
          </w:p>
        </w:tc>
      </w:tr>
      <w:tr w14:paraId="3608EB49">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ABEEBB2">
            <w:pPr>
              <w:rPr>
                <w:rFonts w:hint="eastAsia" w:eastAsia="宋体"/>
                <w:color w:val="auto"/>
                <w:sz w:val="22"/>
                <w:szCs w:val="22"/>
                <w:highlight w:val="none"/>
                <w:shd w:val="clear" w:color="auto" w:fill="auto"/>
                <w:lang w:val="en-US" w:eastAsia="zh-CN"/>
              </w:rPr>
            </w:pPr>
            <w:r>
              <w:rPr>
                <w:rFonts w:hint="eastAsia"/>
                <w:color w:val="auto"/>
                <w:sz w:val="22"/>
                <w:szCs w:val="22"/>
                <w:highlight w:val="none"/>
                <w:shd w:val="clear" w:color="auto" w:fill="auto"/>
                <w:lang w:val="en-US" w:eastAsia="zh-CN"/>
              </w:rPr>
              <w:t>4</w:t>
            </w:r>
            <w:r>
              <w:rPr>
                <w:rFonts w:hint="eastAsia"/>
                <w:color w:val="auto"/>
                <w:sz w:val="22"/>
                <w:szCs w:val="22"/>
                <w:highlight w:val="none"/>
                <w:shd w:val="clear" w:color="auto" w:fill="auto"/>
              </w:rPr>
              <w:t>、</w:t>
            </w:r>
            <w:r>
              <w:rPr>
                <w:rFonts w:hint="eastAsia"/>
                <w:color w:val="auto"/>
                <w:highlight w:val="none"/>
                <w:shd w:val="clear" w:color="auto" w:fill="auto"/>
                <w:lang w:val="en-US" w:eastAsia="zh-CN"/>
              </w:rPr>
              <w:t xml:space="preserve"> 因各个项目具体要求可能存在差异，</w:t>
            </w:r>
            <w:r>
              <w:rPr>
                <w:rFonts w:hint="eastAsia"/>
                <w:color w:val="auto"/>
                <w:highlight w:val="none"/>
                <w:shd w:val="clear" w:color="auto" w:fill="auto"/>
                <w:lang w:eastAsia="zh-CN"/>
              </w:rPr>
              <w:t>项目配置容量、</w:t>
            </w:r>
            <w:r>
              <w:rPr>
                <w:rFonts w:hint="eastAsia"/>
                <w:color w:val="auto"/>
                <w:highlight w:val="none"/>
                <w:shd w:val="clear" w:color="auto" w:fill="auto"/>
                <w:lang w:val="en-US" w:eastAsia="zh-CN"/>
              </w:rPr>
              <w:t>开关数量等其它参数以</w:t>
            </w:r>
            <w:r>
              <w:rPr>
                <w:rFonts w:hint="eastAsia"/>
                <w:color w:val="auto"/>
                <w:highlight w:val="none"/>
                <w:shd w:val="clear" w:color="auto" w:fill="auto"/>
                <w:lang w:eastAsia="zh-CN"/>
              </w:rPr>
              <w:t>具体</w:t>
            </w:r>
            <w:r>
              <w:rPr>
                <w:rFonts w:hint="eastAsia"/>
                <w:color w:val="auto"/>
                <w:highlight w:val="none"/>
                <w:shd w:val="clear" w:color="auto" w:fill="auto"/>
                <w:lang w:val="en-US" w:eastAsia="zh-CN"/>
              </w:rPr>
              <w:t>项目图纸和规范要求为准；</w:t>
            </w:r>
          </w:p>
        </w:tc>
      </w:tr>
    </w:tbl>
    <w:p w14:paraId="1E89BA1E">
      <w:pPr>
        <w:topLinePunct/>
        <w:spacing w:line="312" w:lineRule="exact"/>
        <w:ind w:firstLine="420"/>
        <w:rPr>
          <w:color w:val="auto"/>
          <w:highlight w:val="none"/>
          <w:shd w:val="clear" w:color="auto" w:fill="auto"/>
        </w:rPr>
      </w:pPr>
    </w:p>
    <w:p w14:paraId="39D72630">
      <w:pPr>
        <w:topLinePunct/>
        <w:spacing w:line="312" w:lineRule="exact"/>
        <w:ind w:firstLine="420"/>
        <w:rPr>
          <w:color w:val="auto"/>
          <w:highlight w:val="none"/>
          <w:shd w:val="clear" w:color="auto" w:fill="auto"/>
        </w:rPr>
      </w:pPr>
    </w:p>
    <w:tbl>
      <w:tblPr>
        <w:tblStyle w:val="39"/>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092DA4F0">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4BD27A9D">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lang w:eastAsia="zh-CN"/>
              </w:rPr>
              <w:t>分</w:t>
            </w:r>
            <w:r>
              <w:rPr>
                <w:rFonts w:hint="eastAsia"/>
                <w:color w:val="auto"/>
                <w:sz w:val="22"/>
                <w:szCs w:val="22"/>
                <w:highlight w:val="none"/>
                <w:shd w:val="clear" w:color="auto" w:fill="auto"/>
              </w:rPr>
              <w:t>项报价表</w:t>
            </w:r>
          </w:p>
        </w:tc>
      </w:tr>
      <w:tr w14:paraId="56ADF369">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776D82E">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序号</w:t>
            </w:r>
          </w:p>
        </w:tc>
        <w:tc>
          <w:tcPr>
            <w:tcW w:w="3615" w:type="dxa"/>
            <w:tcBorders>
              <w:top w:val="nil"/>
              <w:left w:val="nil"/>
              <w:bottom w:val="single" w:color="auto" w:sz="8" w:space="0"/>
              <w:right w:val="single" w:color="auto" w:sz="8" w:space="0"/>
            </w:tcBorders>
            <w:shd w:val="clear" w:color="auto" w:fill="auto"/>
            <w:vAlign w:val="center"/>
          </w:tcPr>
          <w:p w14:paraId="4542D037">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产品技术描述</w:t>
            </w:r>
          </w:p>
        </w:tc>
        <w:tc>
          <w:tcPr>
            <w:tcW w:w="835" w:type="dxa"/>
            <w:tcBorders>
              <w:top w:val="nil"/>
              <w:left w:val="nil"/>
              <w:bottom w:val="single" w:color="auto" w:sz="8" w:space="0"/>
              <w:right w:val="single" w:color="auto" w:sz="8" w:space="0"/>
            </w:tcBorders>
            <w:shd w:val="clear" w:color="auto" w:fill="auto"/>
            <w:vAlign w:val="center"/>
          </w:tcPr>
          <w:p w14:paraId="7B4CFE22">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单位</w:t>
            </w:r>
          </w:p>
        </w:tc>
        <w:tc>
          <w:tcPr>
            <w:tcW w:w="936" w:type="dxa"/>
            <w:tcBorders>
              <w:top w:val="nil"/>
              <w:left w:val="nil"/>
              <w:bottom w:val="single" w:color="auto" w:sz="8" w:space="0"/>
              <w:right w:val="single" w:color="auto" w:sz="8" w:space="0"/>
            </w:tcBorders>
            <w:shd w:val="clear" w:color="auto" w:fill="auto"/>
            <w:vAlign w:val="center"/>
          </w:tcPr>
          <w:p w14:paraId="12AE730E">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数量</w:t>
            </w:r>
          </w:p>
        </w:tc>
        <w:tc>
          <w:tcPr>
            <w:tcW w:w="2104" w:type="dxa"/>
            <w:tcBorders>
              <w:top w:val="nil"/>
              <w:left w:val="nil"/>
              <w:bottom w:val="single" w:color="auto" w:sz="8" w:space="0"/>
              <w:right w:val="single" w:color="auto" w:sz="8" w:space="0"/>
            </w:tcBorders>
            <w:shd w:val="clear" w:color="auto" w:fill="auto"/>
            <w:vAlign w:val="center"/>
          </w:tcPr>
          <w:p w14:paraId="6A9532E2">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4A3C6E50">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合计</w:t>
            </w:r>
          </w:p>
        </w:tc>
        <w:tc>
          <w:tcPr>
            <w:tcW w:w="4153" w:type="dxa"/>
            <w:tcBorders>
              <w:top w:val="nil"/>
              <w:left w:val="nil"/>
              <w:bottom w:val="single" w:color="auto" w:sz="8" w:space="0"/>
              <w:right w:val="single" w:color="auto" w:sz="8" w:space="0"/>
            </w:tcBorders>
            <w:shd w:val="clear" w:color="auto" w:fill="auto"/>
            <w:vAlign w:val="center"/>
          </w:tcPr>
          <w:p w14:paraId="518994EF">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其他说明</w:t>
            </w:r>
            <w:r>
              <w:rPr>
                <w:rFonts w:hint="eastAsia"/>
                <w:color w:val="auto"/>
                <w:sz w:val="22"/>
                <w:szCs w:val="22"/>
                <w:highlight w:val="none"/>
                <w:shd w:val="clear" w:color="auto" w:fill="auto"/>
                <w:lang w:val="en-US" w:eastAsia="zh-CN"/>
              </w:rPr>
              <w:t>(按不同变比分别报价)</w:t>
            </w:r>
          </w:p>
        </w:tc>
      </w:tr>
      <w:tr w14:paraId="70883F8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0A18087">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1</w:t>
            </w:r>
          </w:p>
        </w:tc>
        <w:tc>
          <w:tcPr>
            <w:tcW w:w="3615" w:type="dxa"/>
            <w:tcBorders>
              <w:top w:val="nil"/>
              <w:left w:val="nil"/>
              <w:bottom w:val="single" w:color="auto" w:sz="8" w:space="0"/>
              <w:right w:val="single" w:color="auto" w:sz="8" w:space="0"/>
            </w:tcBorders>
            <w:shd w:val="clear" w:color="auto" w:fill="auto"/>
            <w:vAlign w:val="center"/>
          </w:tcPr>
          <w:p w14:paraId="1633B491">
            <w:pPr>
              <w:widowControl/>
              <w:jc w:val="left"/>
              <w:rPr>
                <w:rFonts w:hint="eastAsia" w:ascii="宋体" w:hAnsi="宋体" w:eastAsia="宋体" w:cs="宋体"/>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42BDF641">
            <w:pPr>
              <w:jc w:val="center"/>
              <w:rPr>
                <w:rFonts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3AEEE890">
            <w:pPr>
              <w:jc w:val="center"/>
              <w:rPr>
                <w:rFonts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5E1A9164">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　</w:t>
            </w:r>
          </w:p>
        </w:tc>
        <w:tc>
          <w:tcPr>
            <w:tcW w:w="910" w:type="dxa"/>
            <w:tcBorders>
              <w:top w:val="nil"/>
              <w:left w:val="nil"/>
              <w:bottom w:val="single" w:color="auto" w:sz="8" w:space="0"/>
              <w:right w:val="single" w:color="auto" w:sz="8" w:space="0"/>
            </w:tcBorders>
            <w:shd w:val="clear" w:color="auto" w:fill="auto"/>
            <w:vAlign w:val="center"/>
          </w:tcPr>
          <w:p w14:paraId="2DC99B41">
            <w:pP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　</w:t>
            </w:r>
          </w:p>
        </w:tc>
        <w:tc>
          <w:tcPr>
            <w:tcW w:w="4153" w:type="dxa"/>
            <w:tcBorders>
              <w:top w:val="nil"/>
              <w:left w:val="nil"/>
              <w:bottom w:val="single" w:color="auto" w:sz="8" w:space="0"/>
              <w:right w:val="single" w:color="auto" w:sz="8" w:space="0"/>
            </w:tcBorders>
            <w:shd w:val="clear" w:color="auto" w:fill="auto"/>
            <w:vAlign w:val="center"/>
          </w:tcPr>
          <w:p w14:paraId="71A91F1F">
            <w:pPr>
              <w:widowControl/>
              <w:jc w:val="center"/>
              <w:rPr>
                <w:rFonts w:ascii="宋体" w:hAnsi="宋体" w:cs="宋体"/>
                <w:color w:val="auto"/>
                <w:sz w:val="22"/>
                <w:szCs w:val="22"/>
                <w:highlight w:val="none"/>
                <w:shd w:val="clear" w:color="auto" w:fill="auto"/>
              </w:rPr>
            </w:pPr>
          </w:p>
        </w:tc>
      </w:tr>
      <w:tr w14:paraId="075C930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0C4717C">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2</w:t>
            </w:r>
          </w:p>
        </w:tc>
        <w:tc>
          <w:tcPr>
            <w:tcW w:w="3615" w:type="dxa"/>
            <w:tcBorders>
              <w:top w:val="nil"/>
              <w:left w:val="nil"/>
              <w:bottom w:val="single" w:color="auto" w:sz="8" w:space="0"/>
              <w:right w:val="single" w:color="auto" w:sz="8" w:space="0"/>
            </w:tcBorders>
            <w:shd w:val="clear" w:color="auto" w:fill="auto"/>
            <w:vAlign w:val="center"/>
          </w:tcPr>
          <w:p w14:paraId="65AE70C7">
            <w:pPr>
              <w:widowControl/>
              <w:jc w:val="left"/>
              <w:rPr>
                <w:rFonts w:hint="eastAsia" w:ascii="宋体" w:hAnsi="宋体" w:eastAsia="宋体" w:cs="宋体"/>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188539AA">
            <w:pPr>
              <w:jc w:val="center"/>
              <w:rPr>
                <w:rFonts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3D7CC5F3">
            <w:pPr>
              <w:jc w:val="center"/>
              <w:rPr>
                <w:rFonts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282B58C3">
            <w:pPr>
              <w:jc w:val="center"/>
              <w:rPr>
                <w:rFonts w:ascii="宋体" w:hAnsi="宋体" w:cs="宋体"/>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6C37B62B">
            <w:pPr>
              <w:rPr>
                <w:rFonts w:ascii="宋体" w:hAnsi="宋体" w:cs="宋体"/>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702A860B">
            <w:pPr>
              <w:widowControl/>
              <w:jc w:val="center"/>
              <w:rPr>
                <w:rFonts w:ascii="宋体" w:hAnsi="宋体" w:cs="宋体"/>
                <w:color w:val="auto"/>
                <w:sz w:val="22"/>
                <w:szCs w:val="22"/>
                <w:highlight w:val="none"/>
                <w:shd w:val="clear" w:color="auto" w:fill="auto"/>
              </w:rPr>
            </w:pPr>
          </w:p>
        </w:tc>
      </w:tr>
      <w:tr w14:paraId="67A47DCF">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A254242">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3</w:t>
            </w:r>
          </w:p>
        </w:tc>
        <w:tc>
          <w:tcPr>
            <w:tcW w:w="3615" w:type="dxa"/>
            <w:tcBorders>
              <w:top w:val="nil"/>
              <w:left w:val="nil"/>
              <w:bottom w:val="single" w:color="auto" w:sz="8" w:space="0"/>
              <w:right w:val="single" w:color="auto" w:sz="8" w:space="0"/>
            </w:tcBorders>
            <w:shd w:val="clear" w:color="auto" w:fill="auto"/>
            <w:vAlign w:val="center"/>
          </w:tcPr>
          <w:p w14:paraId="0C467D6C">
            <w:pPr>
              <w:widowControl/>
              <w:jc w:val="left"/>
              <w:rPr>
                <w:rFonts w:hint="eastAsia" w:ascii="宋体" w:hAnsi="宋体" w:eastAsia="宋体" w:cs="宋体"/>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7D79AAE8">
            <w:pPr>
              <w:jc w:val="center"/>
              <w:rPr>
                <w:rFonts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0973B395">
            <w:pPr>
              <w:jc w:val="center"/>
              <w:rPr>
                <w:rFonts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350B1F58">
            <w:pPr>
              <w:jc w:val="center"/>
              <w:rPr>
                <w:rFonts w:ascii="宋体" w:hAnsi="宋体" w:cs="宋体"/>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3AE5BF07">
            <w:pPr>
              <w:rPr>
                <w:rFonts w:ascii="宋体" w:hAnsi="宋体" w:cs="宋体"/>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69656061">
            <w:pPr>
              <w:widowControl/>
              <w:jc w:val="center"/>
              <w:rPr>
                <w:rFonts w:ascii="宋体" w:hAnsi="宋体" w:cs="宋体"/>
                <w:color w:val="auto"/>
                <w:sz w:val="22"/>
                <w:szCs w:val="22"/>
                <w:highlight w:val="none"/>
                <w:shd w:val="clear" w:color="auto" w:fill="auto"/>
              </w:rPr>
            </w:pPr>
          </w:p>
        </w:tc>
      </w:tr>
      <w:tr w14:paraId="3E26D603">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F58687">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4</w:t>
            </w:r>
          </w:p>
        </w:tc>
        <w:tc>
          <w:tcPr>
            <w:tcW w:w="3615" w:type="dxa"/>
            <w:tcBorders>
              <w:top w:val="nil"/>
              <w:left w:val="nil"/>
              <w:bottom w:val="single" w:color="auto" w:sz="8" w:space="0"/>
              <w:right w:val="single" w:color="auto" w:sz="8" w:space="0"/>
            </w:tcBorders>
            <w:shd w:val="clear" w:color="auto" w:fill="auto"/>
            <w:vAlign w:val="center"/>
          </w:tcPr>
          <w:p w14:paraId="758B9FD4">
            <w:pPr>
              <w:widowControl/>
              <w:jc w:val="left"/>
              <w:rPr>
                <w:rFonts w:hint="eastAsia" w:ascii="宋体" w:hAnsi="宋体" w:eastAsia="宋体" w:cs="宋体"/>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68BDF81D">
            <w:pPr>
              <w:jc w:val="center"/>
              <w:rPr>
                <w:rFonts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6DDC1C3">
            <w:pPr>
              <w:jc w:val="center"/>
              <w:rPr>
                <w:rFonts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5E33DF12">
            <w:pPr>
              <w:jc w:val="center"/>
              <w:rPr>
                <w:rFonts w:ascii="宋体" w:hAnsi="宋体" w:cs="宋体"/>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77B4F87E">
            <w:pPr>
              <w:rPr>
                <w:rFonts w:ascii="宋体" w:hAnsi="宋体" w:cs="宋体"/>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458CE8FD">
            <w:pPr>
              <w:widowControl/>
              <w:jc w:val="center"/>
              <w:rPr>
                <w:rFonts w:ascii="宋体" w:hAnsi="宋体" w:cs="宋体"/>
                <w:color w:val="auto"/>
                <w:sz w:val="22"/>
                <w:szCs w:val="22"/>
                <w:highlight w:val="none"/>
                <w:shd w:val="clear" w:color="auto" w:fill="auto"/>
              </w:rPr>
            </w:pPr>
          </w:p>
        </w:tc>
      </w:tr>
      <w:tr w14:paraId="2D4124C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9CDCC6">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5</w:t>
            </w:r>
          </w:p>
        </w:tc>
        <w:tc>
          <w:tcPr>
            <w:tcW w:w="3615" w:type="dxa"/>
            <w:tcBorders>
              <w:top w:val="nil"/>
              <w:left w:val="nil"/>
              <w:bottom w:val="single" w:color="auto" w:sz="8" w:space="0"/>
              <w:right w:val="single" w:color="auto" w:sz="8" w:space="0"/>
            </w:tcBorders>
            <w:shd w:val="clear" w:color="auto" w:fill="auto"/>
            <w:vAlign w:val="center"/>
          </w:tcPr>
          <w:p w14:paraId="0F2048E9">
            <w:pPr>
              <w:widowControl/>
              <w:jc w:val="left"/>
              <w:rPr>
                <w:rFonts w:hint="eastAsia" w:ascii="宋体" w:hAnsi="宋体" w:eastAsia="宋体" w:cs="宋体"/>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0143421F">
            <w:pPr>
              <w:jc w:val="center"/>
              <w:rPr>
                <w:rFonts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5FE1BAD9">
            <w:pPr>
              <w:jc w:val="center"/>
              <w:rPr>
                <w:rFonts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39F55705">
            <w:pPr>
              <w:jc w:val="center"/>
              <w:rPr>
                <w:rFonts w:ascii="宋体" w:hAnsi="宋体" w:cs="宋体"/>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36F0AE09">
            <w:pPr>
              <w:rPr>
                <w:rFonts w:ascii="宋体" w:hAnsi="宋体" w:cs="宋体"/>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51F51F26">
            <w:pPr>
              <w:widowControl/>
              <w:jc w:val="center"/>
              <w:rPr>
                <w:rFonts w:ascii="宋体" w:hAnsi="宋体" w:cs="宋体"/>
                <w:color w:val="auto"/>
                <w:sz w:val="22"/>
                <w:szCs w:val="22"/>
                <w:highlight w:val="none"/>
                <w:shd w:val="clear" w:color="auto" w:fill="auto"/>
              </w:rPr>
            </w:pPr>
          </w:p>
        </w:tc>
      </w:tr>
      <w:tr w14:paraId="32FFD978">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09E9049">
            <w:pPr>
              <w:jc w:val="cente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6</w:t>
            </w:r>
          </w:p>
        </w:tc>
        <w:tc>
          <w:tcPr>
            <w:tcW w:w="3615" w:type="dxa"/>
            <w:tcBorders>
              <w:top w:val="nil"/>
              <w:left w:val="nil"/>
              <w:bottom w:val="single" w:color="auto" w:sz="8" w:space="0"/>
              <w:right w:val="single" w:color="auto" w:sz="8" w:space="0"/>
            </w:tcBorders>
            <w:shd w:val="clear" w:color="auto" w:fill="auto"/>
            <w:vAlign w:val="center"/>
          </w:tcPr>
          <w:p w14:paraId="438707B9">
            <w:pPr>
              <w:widowControl/>
              <w:jc w:val="left"/>
              <w:rPr>
                <w:rFonts w:hint="eastAsia" w:ascii="宋体" w:hAnsi="宋体" w:eastAsia="宋体" w:cs="宋体"/>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1EE1D8CE">
            <w:pPr>
              <w:jc w:val="center"/>
              <w:rPr>
                <w:rFonts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4F5B4A39">
            <w:pPr>
              <w:jc w:val="center"/>
              <w:rPr>
                <w:rFonts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3FCC6F3B">
            <w:pPr>
              <w:jc w:val="center"/>
              <w:rPr>
                <w:rFonts w:ascii="宋体" w:hAnsi="宋体" w:cs="宋体"/>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47E72EFF">
            <w:pPr>
              <w:rPr>
                <w:rFonts w:ascii="宋体" w:hAnsi="宋体" w:cs="宋体"/>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0AA2A521">
            <w:pPr>
              <w:widowControl/>
              <w:jc w:val="center"/>
              <w:rPr>
                <w:rFonts w:ascii="宋体" w:hAnsi="宋体" w:cs="宋体"/>
                <w:color w:val="auto"/>
                <w:sz w:val="22"/>
                <w:szCs w:val="22"/>
                <w:highlight w:val="none"/>
                <w:shd w:val="clear" w:color="auto" w:fill="auto"/>
              </w:rPr>
            </w:pPr>
          </w:p>
        </w:tc>
      </w:tr>
      <w:tr w14:paraId="2EBCC71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22580CD">
            <w:pPr>
              <w:jc w:val="center"/>
              <w:rPr>
                <w:rFonts w:hint="eastAsia" w:eastAsia="宋体"/>
                <w:color w:val="auto"/>
                <w:sz w:val="22"/>
                <w:szCs w:val="22"/>
                <w:highlight w:val="none"/>
                <w:shd w:val="clear" w:color="auto" w:fill="auto"/>
                <w:lang w:val="en-US" w:eastAsia="zh-CN"/>
              </w:rPr>
            </w:pPr>
            <w:r>
              <w:rPr>
                <w:rFonts w:hint="eastAsia"/>
                <w:color w:val="auto"/>
                <w:sz w:val="22"/>
                <w:szCs w:val="22"/>
                <w:highlight w:val="none"/>
                <w:shd w:val="clear" w:color="auto" w:fill="auto"/>
                <w:lang w:val="en-US" w:eastAsia="zh-CN"/>
              </w:rPr>
              <w:t>7</w:t>
            </w:r>
          </w:p>
        </w:tc>
        <w:tc>
          <w:tcPr>
            <w:tcW w:w="3615" w:type="dxa"/>
            <w:tcBorders>
              <w:top w:val="nil"/>
              <w:left w:val="nil"/>
              <w:bottom w:val="single" w:color="auto" w:sz="8" w:space="0"/>
              <w:right w:val="single" w:color="auto" w:sz="8" w:space="0"/>
            </w:tcBorders>
            <w:shd w:val="clear" w:color="auto" w:fill="auto"/>
            <w:vAlign w:val="center"/>
          </w:tcPr>
          <w:p w14:paraId="257FA238">
            <w:pPr>
              <w:widowControl/>
              <w:jc w:val="left"/>
              <w:rPr>
                <w:rFonts w:hint="eastAsia" w:ascii="Times New Roman" w:hAnsi="Times New Roman" w:eastAsia="宋体" w:cs="Times New Roman"/>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461C9850">
            <w:pPr>
              <w:jc w:val="center"/>
              <w:rPr>
                <w:rFonts w:hint="eastAsia"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9F358B8">
            <w:pPr>
              <w:jc w:val="center"/>
              <w:rPr>
                <w:rFonts w:hint="eastAsia"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5524FE13">
            <w:pPr>
              <w:jc w:val="center"/>
              <w:rPr>
                <w:rFonts w:hint="eastAsia"/>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394C1F85">
            <w:pPr>
              <w:rPr>
                <w:rFonts w:hint="eastAsia"/>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1E0F44AF">
            <w:pPr>
              <w:widowControl/>
              <w:jc w:val="center"/>
              <w:rPr>
                <w:rFonts w:hint="eastAsia"/>
                <w:color w:val="auto"/>
                <w:sz w:val="22"/>
                <w:szCs w:val="22"/>
                <w:highlight w:val="none"/>
                <w:shd w:val="clear" w:color="auto" w:fill="auto"/>
              </w:rPr>
            </w:pPr>
          </w:p>
        </w:tc>
      </w:tr>
      <w:tr w14:paraId="31E52F57">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A9A22B5">
            <w:pPr>
              <w:jc w:val="center"/>
              <w:rPr>
                <w:rFonts w:hint="eastAsia" w:eastAsia="宋体"/>
                <w:color w:val="auto"/>
                <w:sz w:val="22"/>
                <w:szCs w:val="22"/>
                <w:highlight w:val="none"/>
                <w:shd w:val="clear" w:color="auto" w:fill="auto"/>
                <w:lang w:val="en-US" w:eastAsia="zh-CN"/>
              </w:rPr>
            </w:pPr>
            <w:r>
              <w:rPr>
                <w:rFonts w:hint="eastAsia"/>
                <w:color w:val="auto"/>
                <w:sz w:val="22"/>
                <w:szCs w:val="22"/>
                <w:highlight w:val="none"/>
                <w:shd w:val="clear" w:color="auto" w:fill="auto"/>
                <w:lang w:val="en-US" w:eastAsia="zh-CN"/>
              </w:rPr>
              <w:t>8</w:t>
            </w:r>
          </w:p>
        </w:tc>
        <w:tc>
          <w:tcPr>
            <w:tcW w:w="3615" w:type="dxa"/>
            <w:tcBorders>
              <w:top w:val="nil"/>
              <w:left w:val="nil"/>
              <w:bottom w:val="single" w:color="auto" w:sz="8" w:space="0"/>
              <w:right w:val="single" w:color="auto" w:sz="8" w:space="0"/>
            </w:tcBorders>
            <w:shd w:val="clear" w:color="auto" w:fill="auto"/>
            <w:vAlign w:val="center"/>
          </w:tcPr>
          <w:p w14:paraId="0FCF7018">
            <w:pPr>
              <w:widowControl/>
              <w:jc w:val="left"/>
              <w:rPr>
                <w:rFonts w:hint="eastAsia" w:ascii="Times New Roman" w:hAnsi="Times New Roman" w:eastAsia="宋体" w:cs="Times New Roman"/>
                <w:color w:val="auto"/>
                <w:kern w:val="2"/>
                <w:sz w:val="22"/>
                <w:szCs w:val="22"/>
                <w:highlight w:val="none"/>
                <w:shd w:val="clear" w:color="auto" w:fill="auto"/>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0C3D8270">
            <w:pPr>
              <w:jc w:val="center"/>
              <w:rPr>
                <w:rFonts w:hint="eastAsia" w:ascii="宋体" w:hAnsi="宋体" w:eastAsia="宋体" w:cs="宋体"/>
                <w:color w:val="auto"/>
                <w:kern w:val="2"/>
                <w:sz w:val="22"/>
                <w:szCs w:val="22"/>
                <w:highlight w:val="none"/>
                <w:shd w:val="clear" w:color="auto" w:fill="auto"/>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3717AE89">
            <w:pPr>
              <w:jc w:val="center"/>
              <w:rPr>
                <w:rFonts w:hint="eastAsia" w:ascii="宋体" w:hAnsi="宋体" w:eastAsia="宋体" w:cs="宋体"/>
                <w:color w:val="auto"/>
                <w:kern w:val="2"/>
                <w:sz w:val="22"/>
                <w:szCs w:val="22"/>
                <w:highlight w:val="none"/>
                <w:shd w:val="clear" w:color="auto" w:fill="auto"/>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51E6D178">
            <w:pPr>
              <w:jc w:val="center"/>
              <w:rPr>
                <w:rFonts w:hint="eastAsia"/>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39DFAA97">
            <w:pPr>
              <w:rPr>
                <w:rFonts w:hint="eastAsia"/>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5A53D5E5">
            <w:pPr>
              <w:widowControl/>
              <w:jc w:val="center"/>
              <w:rPr>
                <w:rFonts w:hint="eastAsia"/>
                <w:color w:val="auto"/>
                <w:sz w:val="22"/>
                <w:szCs w:val="22"/>
                <w:highlight w:val="none"/>
                <w:shd w:val="clear" w:color="auto" w:fill="auto"/>
              </w:rPr>
            </w:pPr>
          </w:p>
        </w:tc>
      </w:tr>
      <w:tr w14:paraId="7198746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B020D6F">
            <w:pPr>
              <w:jc w:val="center"/>
              <w:rPr>
                <w:rFonts w:hint="eastAsia"/>
                <w:color w:val="auto"/>
                <w:sz w:val="22"/>
                <w:szCs w:val="22"/>
                <w:highlight w:val="none"/>
                <w:shd w:val="clear" w:color="auto" w:fill="auto"/>
                <w:lang w:val="en-US" w:eastAsia="zh-CN"/>
              </w:rPr>
            </w:pPr>
            <w:r>
              <w:rPr>
                <w:rFonts w:hint="eastAsia"/>
                <w:color w:val="auto"/>
                <w:sz w:val="22"/>
                <w:szCs w:val="22"/>
                <w:highlight w:val="none"/>
                <w:shd w:val="clear" w:color="auto" w:fill="auto"/>
                <w:lang w:val="en-US" w:eastAsia="zh-CN"/>
              </w:rPr>
              <w:t>9</w:t>
            </w:r>
          </w:p>
        </w:tc>
        <w:tc>
          <w:tcPr>
            <w:tcW w:w="3615" w:type="dxa"/>
            <w:tcBorders>
              <w:top w:val="nil"/>
              <w:left w:val="nil"/>
              <w:bottom w:val="single" w:color="auto" w:sz="8" w:space="0"/>
              <w:right w:val="single" w:color="auto" w:sz="8" w:space="0"/>
            </w:tcBorders>
            <w:shd w:val="clear" w:color="auto" w:fill="auto"/>
            <w:vAlign w:val="center"/>
          </w:tcPr>
          <w:p w14:paraId="4D5E8720">
            <w:pPr>
              <w:widowControl/>
              <w:jc w:val="left"/>
              <w:rPr>
                <w:rFonts w:hint="eastAsia" w:ascii="宋体" w:hAnsi="宋体" w:cs="宋体"/>
                <w:color w:val="auto"/>
                <w:kern w:val="0"/>
                <w:sz w:val="22"/>
                <w:szCs w:val="22"/>
                <w:highlight w:val="none"/>
                <w:shd w:val="clear" w:color="auto" w:fill="auto"/>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0A44A703">
            <w:pPr>
              <w:jc w:val="center"/>
              <w:rPr>
                <w:rFonts w:hint="eastAsia"/>
                <w:color w:val="auto"/>
                <w:sz w:val="22"/>
                <w:szCs w:val="22"/>
                <w:highlight w:val="none"/>
                <w:shd w:val="clear" w:color="auto" w:fill="auto"/>
              </w:rPr>
            </w:pPr>
          </w:p>
        </w:tc>
        <w:tc>
          <w:tcPr>
            <w:tcW w:w="936" w:type="dxa"/>
            <w:tcBorders>
              <w:top w:val="nil"/>
              <w:left w:val="nil"/>
              <w:bottom w:val="single" w:color="auto" w:sz="8" w:space="0"/>
              <w:right w:val="single" w:color="auto" w:sz="8" w:space="0"/>
            </w:tcBorders>
            <w:shd w:val="clear" w:color="auto" w:fill="auto"/>
            <w:vAlign w:val="center"/>
          </w:tcPr>
          <w:p w14:paraId="1125942A">
            <w:pPr>
              <w:jc w:val="center"/>
              <w:rPr>
                <w:rFonts w:hint="eastAsia"/>
                <w:color w:val="auto"/>
                <w:sz w:val="22"/>
                <w:szCs w:val="22"/>
                <w:highlight w:val="none"/>
                <w:shd w:val="clear" w:color="auto" w:fill="auto"/>
              </w:rPr>
            </w:pPr>
          </w:p>
        </w:tc>
        <w:tc>
          <w:tcPr>
            <w:tcW w:w="2104" w:type="dxa"/>
            <w:tcBorders>
              <w:top w:val="nil"/>
              <w:left w:val="nil"/>
              <w:bottom w:val="single" w:color="auto" w:sz="8" w:space="0"/>
              <w:right w:val="single" w:color="auto" w:sz="8" w:space="0"/>
            </w:tcBorders>
            <w:shd w:val="clear" w:color="auto" w:fill="auto"/>
            <w:vAlign w:val="center"/>
          </w:tcPr>
          <w:p w14:paraId="1F75D31A">
            <w:pPr>
              <w:jc w:val="center"/>
              <w:rPr>
                <w:rFonts w:hint="eastAsia"/>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3522AA50">
            <w:pPr>
              <w:rPr>
                <w:rFonts w:hint="eastAsia"/>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579E9C55">
            <w:pPr>
              <w:widowControl/>
              <w:jc w:val="center"/>
              <w:rPr>
                <w:rFonts w:hint="eastAsia"/>
                <w:color w:val="auto"/>
                <w:sz w:val="22"/>
                <w:szCs w:val="22"/>
                <w:highlight w:val="none"/>
                <w:shd w:val="clear" w:color="auto" w:fill="auto"/>
              </w:rPr>
            </w:pPr>
          </w:p>
        </w:tc>
      </w:tr>
      <w:tr w14:paraId="54C8DDD5">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1FA39B">
            <w:pPr>
              <w:jc w:val="center"/>
              <w:rPr>
                <w:rFonts w:hint="eastAsia"/>
                <w:color w:val="auto"/>
                <w:sz w:val="22"/>
                <w:szCs w:val="22"/>
                <w:highlight w:val="none"/>
                <w:shd w:val="clear" w:color="auto" w:fill="auto"/>
                <w:lang w:val="en-US" w:eastAsia="zh-CN"/>
              </w:rPr>
            </w:pPr>
            <w:r>
              <w:rPr>
                <w:rFonts w:hint="eastAsia"/>
                <w:color w:val="auto"/>
                <w:sz w:val="22"/>
                <w:szCs w:val="22"/>
                <w:highlight w:val="none"/>
                <w:shd w:val="clear" w:color="auto" w:fill="auto"/>
                <w:lang w:val="en-US" w:eastAsia="zh-CN"/>
              </w:rPr>
              <w:t>10</w:t>
            </w:r>
          </w:p>
        </w:tc>
        <w:tc>
          <w:tcPr>
            <w:tcW w:w="3615" w:type="dxa"/>
            <w:tcBorders>
              <w:top w:val="nil"/>
              <w:left w:val="nil"/>
              <w:bottom w:val="single" w:color="auto" w:sz="8" w:space="0"/>
              <w:right w:val="single" w:color="auto" w:sz="8" w:space="0"/>
            </w:tcBorders>
            <w:shd w:val="clear" w:color="auto" w:fill="auto"/>
            <w:vAlign w:val="center"/>
          </w:tcPr>
          <w:p w14:paraId="095B70F3">
            <w:pPr>
              <w:widowControl/>
              <w:jc w:val="left"/>
              <w:rPr>
                <w:rFonts w:hint="eastAsia" w:ascii="宋体" w:hAnsi="宋体" w:cs="宋体"/>
                <w:color w:val="auto"/>
                <w:kern w:val="0"/>
                <w:sz w:val="22"/>
                <w:szCs w:val="22"/>
                <w:highlight w:val="none"/>
                <w:shd w:val="clear" w:color="auto" w:fill="auto"/>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5A0428B6">
            <w:pPr>
              <w:jc w:val="center"/>
              <w:rPr>
                <w:rFonts w:hint="eastAsia"/>
                <w:color w:val="auto"/>
                <w:sz w:val="22"/>
                <w:szCs w:val="22"/>
                <w:highlight w:val="none"/>
                <w:shd w:val="clear" w:color="auto" w:fill="auto"/>
              </w:rPr>
            </w:pPr>
          </w:p>
        </w:tc>
        <w:tc>
          <w:tcPr>
            <w:tcW w:w="936" w:type="dxa"/>
            <w:tcBorders>
              <w:top w:val="nil"/>
              <w:left w:val="nil"/>
              <w:bottom w:val="single" w:color="auto" w:sz="8" w:space="0"/>
              <w:right w:val="single" w:color="auto" w:sz="8" w:space="0"/>
            </w:tcBorders>
            <w:shd w:val="clear" w:color="auto" w:fill="auto"/>
            <w:vAlign w:val="center"/>
          </w:tcPr>
          <w:p w14:paraId="7AA6EFBC">
            <w:pPr>
              <w:jc w:val="center"/>
              <w:rPr>
                <w:rFonts w:hint="eastAsia"/>
                <w:color w:val="auto"/>
                <w:sz w:val="22"/>
                <w:szCs w:val="22"/>
                <w:highlight w:val="none"/>
                <w:shd w:val="clear" w:color="auto" w:fill="auto"/>
              </w:rPr>
            </w:pPr>
          </w:p>
        </w:tc>
        <w:tc>
          <w:tcPr>
            <w:tcW w:w="2104" w:type="dxa"/>
            <w:tcBorders>
              <w:top w:val="nil"/>
              <w:left w:val="nil"/>
              <w:bottom w:val="single" w:color="auto" w:sz="8" w:space="0"/>
              <w:right w:val="single" w:color="auto" w:sz="8" w:space="0"/>
            </w:tcBorders>
            <w:shd w:val="clear" w:color="auto" w:fill="auto"/>
            <w:vAlign w:val="center"/>
          </w:tcPr>
          <w:p w14:paraId="14179866">
            <w:pPr>
              <w:jc w:val="center"/>
              <w:rPr>
                <w:rFonts w:hint="eastAsia"/>
                <w:color w:val="auto"/>
                <w:sz w:val="22"/>
                <w:szCs w:val="22"/>
                <w:highlight w:val="none"/>
                <w:shd w:val="clear" w:color="auto" w:fill="auto"/>
              </w:rPr>
            </w:pPr>
          </w:p>
        </w:tc>
        <w:tc>
          <w:tcPr>
            <w:tcW w:w="910" w:type="dxa"/>
            <w:tcBorders>
              <w:top w:val="nil"/>
              <w:left w:val="nil"/>
              <w:bottom w:val="single" w:color="auto" w:sz="8" w:space="0"/>
              <w:right w:val="single" w:color="auto" w:sz="8" w:space="0"/>
            </w:tcBorders>
            <w:shd w:val="clear" w:color="auto" w:fill="auto"/>
            <w:vAlign w:val="center"/>
          </w:tcPr>
          <w:p w14:paraId="0718CD26">
            <w:pPr>
              <w:rPr>
                <w:rFonts w:hint="eastAsia"/>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09A891FE">
            <w:pPr>
              <w:widowControl/>
              <w:jc w:val="center"/>
              <w:rPr>
                <w:rFonts w:hint="eastAsia"/>
                <w:color w:val="auto"/>
                <w:sz w:val="22"/>
                <w:szCs w:val="22"/>
                <w:highlight w:val="none"/>
                <w:shd w:val="clear" w:color="auto" w:fill="auto"/>
              </w:rPr>
            </w:pPr>
          </w:p>
        </w:tc>
      </w:tr>
      <w:tr w14:paraId="65BC8C82">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3070785C">
            <w:pPr>
              <w:jc w:val="center"/>
              <w:rPr>
                <w:rFonts w:hint="eastAsia" w:eastAsia="宋体"/>
                <w:color w:val="auto"/>
                <w:sz w:val="22"/>
                <w:szCs w:val="22"/>
                <w:highlight w:val="none"/>
                <w:shd w:val="clear" w:color="auto" w:fill="auto"/>
                <w:lang w:eastAsia="zh-CN"/>
              </w:rPr>
            </w:pPr>
            <w:r>
              <w:rPr>
                <w:rFonts w:hint="eastAsia"/>
                <w:color w:val="auto"/>
                <w:sz w:val="22"/>
                <w:szCs w:val="22"/>
                <w:highlight w:val="none"/>
                <w:shd w:val="clear" w:color="auto" w:fill="auto"/>
                <w:lang w:eastAsia="zh-CN"/>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257C4E4B">
            <w:pPr>
              <w:rPr>
                <w:rFonts w:hint="eastAsia"/>
                <w:color w:val="auto"/>
                <w:sz w:val="22"/>
                <w:szCs w:val="22"/>
                <w:highlight w:val="none"/>
                <w:shd w:val="clear" w:color="auto" w:fill="auto"/>
              </w:rPr>
            </w:pPr>
          </w:p>
        </w:tc>
        <w:tc>
          <w:tcPr>
            <w:tcW w:w="4153" w:type="dxa"/>
            <w:tcBorders>
              <w:top w:val="nil"/>
              <w:left w:val="nil"/>
              <w:bottom w:val="single" w:color="auto" w:sz="8" w:space="0"/>
              <w:right w:val="single" w:color="auto" w:sz="8" w:space="0"/>
            </w:tcBorders>
            <w:shd w:val="clear" w:color="auto" w:fill="auto"/>
            <w:vAlign w:val="center"/>
          </w:tcPr>
          <w:p w14:paraId="04A6D04F">
            <w:pPr>
              <w:rPr>
                <w:rFonts w:hint="eastAsia"/>
                <w:color w:val="auto"/>
                <w:sz w:val="22"/>
                <w:szCs w:val="22"/>
                <w:highlight w:val="none"/>
                <w:shd w:val="clear" w:color="auto" w:fill="auto"/>
              </w:rPr>
            </w:pPr>
          </w:p>
        </w:tc>
      </w:tr>
      <w:tr w14:paraId="1B3BC0C9">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11721C9">
            <w:pP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说明：1、投标单位需严格按照此格式进行报价。</w:t>
            </w:r>
          </w:p>
        </w:tc>
      </w:tr>
      <w:tr w14:paraId="43FAE704">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43E1E8B">
            <w:pP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2、投标人需要根据表格容量进行报价，单个产品合计价格须与报价汇总表单价保持一致。</w:t>
            </w:r>
          </w:p>
        </w:tc>
      </w:tr>
      <w:tr w14:paraId="783F9528">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B1D783B">
            <w:pPr>
              <w:rPr>
                <w:rFonts w:ascii="宋体" w:hAnsi="宋体" w:cs="宋体"/>
                <w:color w:val="auto"/>
                <w:sz w:val="22"/>
                <w:szCs w:val="22"/>
                <w:highlight w:val="none"/>
                <w:shd w:val="clear" w:color="auto" w:fill="auto"/>
              </w:rPr>
            </w:pPr>
            <w:r>
              <w:rPr>
                <w:rFonts w:hint="eastAsia"/>
                <w:color w:val="auto"/>
                <w:sz w:val="22"/>
                <w:szCs w:val="22"/>
                <w:highlight w:val="none"/>
                <w:shd w:val="clear" w:color="auto" w:fill="auto"/>
              </w:rPr>
              <w:t>3、本招标为年度框架招标，本报价仅列出常用型号，用户报价时需提供产品样本及价格表，如采购时产生不在本报价型号的产品型号，则产品单价将按对应中标金额与面价表比例进行计算。</w:t>
            </w:r>
          </w:p>
        </w:tc>
      </w:tr>
      <w:tr w14:paraId="64BF18C5">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47686039">
            <w:pPr>
              <w:rPr>
                <w:rFonts w:hint="eastAsia"/>
                <w:color w:val="auto"/>
                <w:sz w:val="22"/>
                <w:szCs w:val="22"/>
                <w:highlight w:val="none"/>
                <w:shd w:val="clear" w:color="auto" w:fill="auto"/>
              </w:rPr>
            </w:pPr>
            <w:r>
              <w:rPr>
                <w:rFonts w:hint="eastAsia"/>
                <w:color w:val="auto"/>
                <w:sz w:val="22"/>
                <w:szCs w:val="22"/>
                <w:highlight w:val="none"/>
                <w:shd w:val="clear" w:color="auto" w:fill="auto"/>
                <w:lang w:val="en-US" w:eastAsia="zh-CN"/>
              </w:rPr>
              <w:t>4</w:t>
            </w:r>
            <w:r>
              <w:rPr>
                <w:rFonts w:hint="eastAsia"/>
                <w:color w:val="auto"/>
                <w:sz w:val="22"/>
                <w:szCs w:val="22"/>
                <w:highlight w:val="none"/>
                <w:shd w:val="clear" w:color="auto" w:fill="auto"/>
              </w:rPr>
              <w:t>、</w:t>
            </w:r>
            <w:r>
              <w:rPr>
                <w:rFonts w:hint="eastAsia"/>
                <w:color w:val="auto"/>
                <w:highlight w:val="none"/>
                <w:shd w:val="clear" w:color="auto" w:fill="auto"/>
                <w:lang w:val="en-US" w:eastAsia="zh-CN"/>
              </w:rPr>
              <w:t xml:space="preserve"> 因各个项目具体要求可能存在差异，</w:t>
            </w:r>
            <w:r>
              <w:rPr>
                <w:rFonts w:hint="eastAsia"/>
                <w:color w:val="auto"/>
                <w:highlight w:val="none"/>
                <w:shd w:val="clear" w:color="auto" w:fill="auto"/>
                <w:lang w:eastAsia="zh-CN"/>
              </w:rPr>
              <w:t>项目配置容量、</w:t>
            </w:r>
            <w:r>
              <w:rPr>
                <w:rFonts w:hint="eastAsia"/>
                <w:color w:val="auto"/>
                <w:highlight w:val="none"/>
                <w:shd w:val="clear" w:color="auto" w:fill="auto"/>
                <w:lang w:val="en-US" w:eastAsia="zh-CN"/>
              </w:rPr>
              <w:t>开关数量等其它参数以</w:t>
            </w:r>
            <w:r>
              <w:rPr>
                <w:rFonts w:hint="eastAsia"/>
                <w:color w:val="auto"/>
                <w:highlight w:val="none"/>
                <w:shd w:val="clear" w:color="auto" w:fill="auto"/>
                <w:lang w:eastAsia="zh-CN"/>
              </w:rPr>
              <w:t>具体</w:t>
            </w:r>
            <w:r>
              <w:rPr>
                <w:rFonts w:hint="eastAsia"/>
                <w:color w:val="auto"/>
                <w:highlight w:val="none"/>
                <w:shd w:val="clear" w:color="auto" w:fill="auto"/>
                <w:lang w:val="en-US" w:eastAsia="zh-CN"/>
              </w:rPr>
              <w:t>项目图纸和规范要求为准；</w:t>
            </w:r>
          </w:p>
        </w:tc>
      </w:tr>
    </w:tbl>
    <w:p w14:paraId="31046505">
      <w:pPr>
        <w:topLinePunct/>
        <w:spacing w:line="240" w:lineRule="auto"/>
        <w:rPr>
          <w:color w:val="auto"/>
          <w:highlight w:val="none"/>
          <w:shd w:val="clear" w:color="auto" w:fill="auto"/>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F2B65">
    <w:pPr>
      <w:pStyle w:val="26"/>
      <w:jc w:val="center"/>
    </w:pPr>
    <w:r>
      <w:fldChar w:fldCharType="begin"/>
    </w:r>
    <w:r>
      <w:instrText xml:space="preserve"> PAGE   \* MERGEFORMAT </w:instrText>
    </w:r>
    <w:r>
      <w:fldChar w:fldCharType="separate"/>
    </w:r>
    <w:r>
      <w:t>3</w:t>
    </w:r>
    <w:r>
      <w:rPr>
        <w:lang w:val="zh-CN"/>
      </w:rPr>
      <w:fldChar w:fldCharType="end"/>
    </w:r>
  </w:p>
  <w:p w14:paraId="5CBE9733">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7F784">
    <w:pPr>
      <w:pStyle w:val="26"/>
      <w:jc w:val="center"/>
    </w:pPr>
    <w:r>
      <w:fldChar w:fldCharType="begin"/>
    </w:r>
    <w:r>
      <w:instrText xml:space="preserve"> PAGE   \* MERGEFORMAT </w:instrText>
    </w:r>
    <w:r>
      <w:fldChar w:fldCharType="separate"/>
    </w:r>
    <w:r>
      <w:t>1</w:t>
    </w:r>
    <w:r>
      <w:rPr>
        <w:lang w:val="zh-CN"/>
      </w:rPr>
      <w:fldChar w:fldCharType="end"/>
    </w:r>
  </w:p>
  <w:p w14:paraId="669DF4FD">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58398D"/>
    <w:rsid w:val="04B96A4C"/>
    <w:rsid w:val="069C4E79"/>
    <w:rsid w:val="06C63181"/>
    <w:rsid w:val="06C867AC"/>
    <w:rsid w:val="07610F29"/>
    <w:rsid w:val="077943D1"/>
    <w:rsid w:val="087D7F38"/>
    <w:rsid w:val="088F6118"/>
    <w:rsid w:val="0A095984"/>
    <w:rsid w:val="0A546CFD"/>
    <w:rsid w:val="0AB4001B"/>
    <w:rsid w:val="0C3E7B22"/>
    <w:rsid w:val="0CA041F5"/>
    <w:rsid w:val="0D4634C6"/>
    <w:rsid w:val="0E6352A9"/>
    <w:rsid w:val="101C207C"/>
    <w:rsid w:val="109D16D1"/>
    <w:rsid w:val="11C558AC"/>
    <w:rsid w:val="12912E05"/>
    <w:rsid w:val="13021E3F"/>
    <w:rsid w:val="144349CA"/>
    <w:rsid w:val="14486024"/>
    <w:rsid w:val="15651629"/>
    <w:rsid w:val="15F1161D"/>
    <w:rsid w:val="175F4C67"/>
    <w:rsid w:val="17A96653"/>
    <w:rsid w:val="17DF51B5"/>
    <w:rsid w:val="18604C91"/>
    <w:rsid w:val="1ADA6B24"/>
    <w:rsid w:val="1B81532C"/>
    <w:rsid w:val="1E181AED"/>
    <w:rsid w:val="1E9F5249"/>
    <w:rsid w:val="212165FA"/>
    <w:rsid w:val="21703D3E"/>
    <w:rsid w:val="21812D83"/>
    <w:rsid w:val="21E408A9"/>
    <w:rsid w:val="22A93AEA"/>
    <w:rsid w:val="24757970"/>
    <w:rsid w:val="24A948B4"/>
    <w:rsid w:val="24CC02EC"/>
    <w:rsid w:val="24F97E3C"/>
    <w:rsid w:val="28431B9D"/>
    <w:rsid w:val="2A9071E3"/>
    <w:rsid w:val="2AC25434"/>
    <w:rsid w:val="2D385E3D"/>
    <w:rsid w:val="2FEB167A"/>
    <w:rsid w:val="301F5880"/>
    <w:rsid w:val="306D1203"/>
    <w:rsid w:val="343F0843"/>
    <w:rsid w:val="363C18C1"/>
    <w:rsid w:val="363E3B8C"/>
    <w:rsid w:val="36CE0F9D"/>
    <w:rsid w:val="37DC2334"/>
    <w:rsid w:val="38642B77"/>
    <w:rsid w:val="38910B5D"/>
    <w:rsid w:val="38C06F01"/>
    <w:rsid w:val="390A1721"/>
    <w:rsid w:val="3A15327D"/>
    <w:rsid w:val="3C3663D5"/>
    <w:rsid w:val="3CFB4CAB"/>
    <w:rsid w:val="3D504924"/>
    <w:rsid w:val="3D6313C6"/>
    <w:rsid w:val="3DC75867"/>
    <w:rsid w:val="3DE5069A"/>
    <w:rsid w:val="3E465FAD"/>
    <w:rsid w:val="3FA141F3"/>
    <w:rsid w:val="3FB86017"/>
    <w:rsid w:val="41566C15"/>
    <w:rsid w:val="42936744"/>
    <w:rsid w:val="42B70F03"/>
    <w:rsid w:val="431A7B56"/>
    <w:rsid w:val="457E0411"/>
    <w:rsid w:val="473232DB"/>
    <w:rsid w:val="4763732D"/>
    <w:rsid w:val="48E43FA6"/>
    <w:rsid w:val="49555444"/>
    <w:rsid w:val="49D51330"/>
    <w:rsid w:val="4C244078"/>
    <w:rsid w:val="4C3F12DD"/>
    <w:rsid w:val="4D655D09"/>
    <w:rsid w:val="4DEA3D63"/>
    <w:rsid w:val="4ED107DE"/>
    <w:rsid w:val="4FC437C6"/>
    <w:rsid w:val="50365B27"/>
    <w:rsid w:val="505605DA"/>
    <w:rsid w:val="50C54111"/>
    <w:rsid w:val="514A216C"/>
    <w:rsid w:val="532838FB"/>
    <w:rsid w:val="535B2E50"/>
    <w:rsid w:val="548B3542"/>
    <w:rsid w:val="56E11498"/>
    <w:rsid w:val="58B303D9"/>
    <w:rsid w:val="58B42698"/>
    <w:rsid w:val="59114FB0"/>
    <w:rsid w:val="5B076365"/>
    <w:rsid w:val="5B93724D"/>
    <w:rsid w:val="5CD60B5E"/>
    <w:rsid w:val="5E9D12A7"/>
    <w:rsid w:val="5F9B4B6A"/>
    <w:rsid w:val="60422D79"/>
    <w:rsid w:val="605129F5"/>
    <w:rsid w:val="60C345CC"/>
    <w:rsid w:val="61E559A8"/>
    <w:rsid w:val="62040A6E"/>
    <w:rsid w:val="66482F24"/>
    <w:rsid w:val="67421678"/>
    <w:rsid w:val="6A254C33"/>
    <w:rsid w:val="6D3867BF"/>
    <w:rsid w:val="6D920153"/>
    <w:rsid w:val="733B1C68"/>
    <w:rsid w:val="74C64922"/>
    <w:rsid w:val="74F6722B"/>
    <w:rsid w:val="76804F78"/>
    <w:rsid w:val="77B05DB7"/>
    <w:rsid w:val="77CF39A0"/>
    <w:rsid w:val="78F73403"/>
    <w:rsid w:val="79607369"/>
    <w:rsid w:val="7A9D4B73"/>
    <w:rsid w:val="7AF70B2D"/>
    <w:rsid w:val="7B1072F5"/>
    <w:rsid w:val="7C590591"/>
    <w:rsid w:val="7D573FDD"/>
    <w:rsid w:val="7F271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unhideWhenUsed/>
    <w:qFormat/>
    <w:uiPriority w:val="1"/>
  </w:style>
  <w:style w:type="table" w:default="1" w:styleId="39">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paragraph" w:styleId="38">
    <w:name w:val="Body Text First Indent 2"/>
    <w:basedOn w:val="18"/>
    <w:qFormat/>
    <w:uiPriority w:val="0"/>
    <w:pPr>
      <w:adjustRightInd w:val="0"/>
      <w:spacing w:after="120" w:afterLines="0" w:line="520" w:lineRule="exact"/>
      <w:ind w:firstLine="210"/>
      <w:textAlignment w:val="baseline"/>
    </w:pPr>
    <w:rPr>
      <w:rFonts w:ascii="黑体" w:hAnsi="Arial" w:eastAsia="黑体" w:cs="Arial"/>
      <w:kern w:val="0"/>
      <w:sz w:val="24"/>
      <w:szCs w:val="20"/>
    </w:r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Char"/>
    <w:basedOn w:val="40"/>
    <w:link w:val="25"/>
    <w:qFormat/>
    <w:uiPriority w:val="99"/>
    <w:rPr>
      <w:sz w:val="18"/>
      <w:szCs w:val="18"/>
    </w:rPr>
  </w:style>
  <w:style w:type="character" w:customStyle="1" w:styleId="47">
    <w:name w:val="标题 1 Char"/>
    <w:basedOn w:val="40"/>
    <w:link w:val="2"/>
    <w:qFormat/>
    <w:uiPriority w:val="0"/>
    <w:rPr>
      <w:rFonts w:ascii="Times New Roman" w:hAnsi="Times New Roman" w:eastAsia="宋体" w:cs="Times New Roman"/>
      <w:b/>
      <w:bCs/>
      <w:sz w:val="28"/>
      <w:szCs w:val="24"/>
    </w:rPr>
  </w:style>
  <w:style w:type="character" w:customStyle="1" w:styleId="48">
    <w:name w:val="标题 2 Char"/>
    <w:basedOn w:val="40"/>
    <w:link w:val="3"/>
    <w:qFormat/>
    <w:uiPriority w:val="0"/>
    <w:rPr>
      <w:rFonts w:ascii="Times New Roman" w:hAnsi="Times New Roman" w:eastAsia="黑体" w:cs="Times New Roman"/>
      <w:szCs w:val="20"/>
    </w:rPr>
  </w:style>
  <w:style w:type="character" w:customStyle="1" w:styleId="49">
    <w:name w:val="标题 3 Char"/>
    <w:basedOn w:val="40"/>
    <w:link w:val="4"/>
    <w:qFormat/>
    <w:uiPriority w:val="9"/>
    <w:rPr>
      <w:rFonts w:ascii="Calibri" w:hAnsi="Calibri" w:eastAsia="宋体" w:cs="Times New Roman"/>
      <w:b/>
      <w:bCs/>
      <w:sz w:val="32"/>
      <w:szCs w:val="32"/>
    </w:rPr>
  </w:style>
  <w:style w:type="character" w:customStyle="1" w:styleId="50">
    <w:name w:val="标题 4 Char"/>
    <w:basedOn w:val="40"/>
    <w:link w:val="5"/>
    <w:qFormat/>
    <w:uiPriority w:val="0"/>
    <w:rPr>
      <w:rFonts w:ascii="Arial" w:hAnsi="Arial" w:eastAsia="黑体" w:cs="Times New Roman"/>
      <w:b/>
      <w:sz w:val="28"/>
      <w:szCs w:val="20"/>
    </w:rPr>
  </w:style>
  <w:style w:type="character" w:customStyle="1" w:styleId="51">
    <w:name w:val="标题 5 Char"/>
    <w:basedOn w:val="40"/>
    <w:link w:val="6"/>
    <w:qFormat/>
    <w:uiPriority w:val="0"/>
    <w:rPr>
      <w:rFonts w:ascii="Times New Roman" w:hAnsi="Times New Roman" w:eastAsia="黑体" w:cs="Times New Roman"/>
      <w:szCs w:val="20"/>
    </w:rPr>
  </w:style>
  <w:style w:type="character" w:customStyle="1" w:styleId="52">
    <w:name w:val="标题 6 Char"/>
    <w:basedOn w:val="40"/>
    <w:link w:val="7"/>
    <w:qFormat/>
    <w:uiPriority w:val="0"/>
    <w:rPr>
      <w:rFonts w:ascii="Arial" w:hAnsi="Arial" w:eastAsia="黑体" w:cs="Times New Roman"/>
      <w:b/>
      <w:sz w:val="24"/>
      <w:szCs w:val="20"/>
    </w:rPr>
  </w:style>
  <w:style w:type="character" w:customStyle="1" w:styleId="53">
    <w:name w:val="标题 7 Char"/>
    <w:basedOn w:val="40"/>
    <w:link w:val="8"/>
    <w:qFormat/>
    <w:uiPriority w:val="0"/>
    <w:rPr>
      <w:rFonts w:ascii="Times New Roman" w:hAnsi="Times New Roman" w:eastAsia="宋体" w:cs="Times New Roman"/>
      <w:b/>
      <w:sz w:val="24"/>
      <w:szCs w:val="20"/>
    </w:rPr>
  </w:style>
  <w:style w:type="character" w:customStyle="1" w:styleId="54">
    <w:name w:val="标题 8 Char"/>
    <w:basedOn w:val="40"/>
    <w:link w:val="9"/>
    <w:qFormat/>
    <w:uiPriority w:val="0"/>
    <w:rPr>
      <w:rFonts w:ascii="Arial" w:hAnsi="Arial" w:eastAsia="黑体" w:cs="Times New Roman"/>
      <w:sz w:val="24"/>
      <w:szCs w:val="20"/>
    </w:rPr>
  </w:style>
  <w:style w:type="character" w:customStyle="1" w:styleId="55">
    <w:name w:val="标题 9 Char"/>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Char"/>
    <w:basedOn w:val="40"/>
    <w:link w:val="27"/>
    <w:qFormat/>
    <w:uiPriority w:val="0"/>
    <w:rPr>
      <w:rFonts w:ascii="Times New Roman" w:hAnsi="Times New Roman" w:eastAsia="宋体" w:cs="Times New Roman"/>
      <w:sz w:val="18"/>
      <w:szCs w:val="18"/>
    </w:rPr>
  </w:style>
  <w:style w:type="character" w:customStyle="1" w:styleId="59">
    <w:name w:val="页脚 Char"/>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Char"/>
    <w:basedOn w:val="40"/>
    <w:link w:val="16"/>
    <w:qFormat/>
    <w:uiPriority w:val="99"/>
    <w:rPr>
      <w:rFonts w:ascii="Times New Roman" w:hAnsi="Times New Roman" w:eastAsia="宋体" w:cs="Times New Roman"/>
      <w:szCs w:val="24"/>
    </w:rPr>
  </w:style>
  <w:style w:type="character" w:customStyle="1" w:styleId="70">
    <w:name w:val="批注主题 Char"/>
    <w:basedOn w:val="69"/>
    <w:link w:val="36"/>
    <w:qFormat/>
    <w:uiPriority w:val="0"/>
    <w:rPr>
      <w:rFonts w:ascii="Times New Roman" w:hAnsi="Times New Roman" w:eastAsia="宋体" w:cs="Times New Roman"/>
      <w:b/>
      <w:bCs/>
      <w:szCs w:val="24"/>
    </w:rPr>
  </w:style>
  <w:style w:type="paragraph" w:customStyle="1" w:styleId="71">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Char"/>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Char"/>
    <w:basedOn w:val="40"/>
    <w:link w:val="17"/>
    <w:qFormat/>
    <w:uiPriority w:val="99"/>
    <w:rPr>
      <w:rFonts w:ascii="Times New Roman" w:hAnsi="Times New Roman" w:eastAsia="宋体" w:cs="Times New Roman"/>
      <w:szCs w:val="24"/>
    </w:rPr>
  </w:style>
  <w:style w:type="character" w:customStyle="1" w:styleId="77">
    <w:name w:val="正文首行缩进 Char"/>
    <w:basedOn w:val="76"/>
    <w:link w:val="37"/>
    <w:qFormat/>
    <w:uiPriority w:val="0"/>
    <w:rPr>
      <w:rFonts w:ascii="Times New Roman" w:hAnsi="Times New Roman" w:eastAsia="宋体" w:cs="Times New Roman"/>
      <w:szCs w:val="24"/>
    </w:rPr>
  </w:style>
  <w:style w:type="character" w:customStyle="1" w:styleId="78">
    <w:name w:val="题注 Char"/>
    <w:link w:val="13"/>
    <w:qFormat/>
    <w:uiPriority w:val="0"/>
    <w:rPr>
      <w:rFonts w:ascii="Cambria" w:hAnsi="Cambria" w:eastAsia="黑体" w:cs="Times New Roman"/>
      <w:sz w:val="20"/>
      <w:szCs w:val="20"/>
    </w:rPr>
  </w:style>
  <w:style w:type="character" w:customStyle="1" w:styleId="79">
    <w:name w:val="正文文本缩进 Char"/>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Char"/>
    <w:basedOn w:val="40"/>
    <w:link w:val="21"/>
    <w:qFormat/>
    <w:uiPriority w:val="0"/>
    <w:rPr>
      <w:rFonts w:ascii="宋体" w:hAnsi="Courier New" w:eastAsia="宋体" w:cs="Times New Roman"/>
      <w:szCs w:val="20"/>
    </w:rPr>
  </w:style>
  <w:style w:type="character" w:customStyle="1" w:styleId="81">
    <w:name w:val="日期 Char"/>
    <w:basedOn w:val="40"/>
    <w:link w:val="23"/>
    <w:qFormat/>
    <w:uiPriority w:val="0"/>
    <w:rPr>
      <w:rFonts w:ascii="Times New Roman" w:hAnsi="Times New Roman" w:eastAsia="宋体" w:cs="Times New Roman"/>
      <w:kern w:val="0"/>
      <w:sz w:val="28"/>
      <w:szCs w:val="24"/>
    </w:rPr>
  </w:style>
  <w:style w:type="character" w:customStyle="1" w:styleId="82">
    <w:name w:val="正文文本缩进 2 Char"/>
    <w:basedOn w:val="40"/>
    <w:link w:val="24"/>
    <w:qFormat/>
    <w:uiPriority w:val="0"/>
    <w:rPr>
      <w:rFonts w:ascii="宋体" w:hAnsi="Times New Roman" w:eastAsia="宋体" w:cs="Times New Roman"/>
      <w:kern w:val="0"/>
      <w:sz w:val="20"/>
      <w:szCs w:val="24"/>
    </w:rPr>
  </w:style>
  <w:style w:type="character" w:customStyle="1" w:styleId="83">
    <w:name w:val="正文文本缩进 3 Char"/>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Char3"/>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kern w:val="0"/>
      <w:sz w:val="20"/>
      <w:szCs w:val="20"/>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kern w:val="0"/>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kern w:val="0"/>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kern w:val="0"/>
      <w:sz w:val="28"/>
      <w:szCs w:val="20"/>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Heading"/>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kern w:val="0"/>
      <w:sz w:val="21"/>
      <w:szCs w:val="20"/>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List Paragraph"/>
    <w:basedOn w:val="1"/>
    <w:qFormat/>
    <w:uiPriority w:val="34"/>
    <w:pPr>
      <w:ind w:firstLine="420" w:firstLineChars="200"/>
    </w:pPr>
  </w:style>
  <w:style w:type="paragraph" w:customStyle="1" w:styleId="239">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12</Pages>
  <Words>5985</Words>
  <Characters>6634</Characters>
  <Lines>58</Lines>
  <Paragraphs>16</Paragraphs>
  <TotalTime>6</TotalTime>
  <ScaleCrop>false</ScaleCrop>
  <LinksUpToDate>false</LinksUpToDate>
  <CharactersWithSpaces>6835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2025-03-19T14:34:46Z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