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4186E">
      <w:pPr>
        <w:spacing w:line="360" w:lineRule="auto"/>
        <w:ind w:firstLine="260" w:firstLineChars="50"/>
        <w:jc w:val="center"/>
        <w:rPr>
          <w:rFonts w:hint="eastAsia" w:ascii="宋体" w:hAnsi="宋体"/>
          <w:b/>
          <w:sz w:val="52"/>
          <w:lang w:eastAsia="zh-CN"/>
        </w:rPr>
      </w:pPr>
      <w:r>
        <w:rPr>
          <w:rFonts w:hint="eastAsia" w:ascii="宋体" w:hAnsi="宋体"/>
          <w:b/>
          <w:sz w:val="52"/>
          <w:lang w:eastAsia="zh-CN"/>
        </w:rPr>
        <w:t>许昌智能继电器股份有限公司</w:t>
      </w:r>
    </w:p>
    <w:p w14:paraId="34C2219D">
      <w:pPr>
        <w:spacing w:line="360" w:lineRule="auto"/>
        <w:jc w:val="center"/>
        <w:rPr>
          <w:rFonts w:hint="eastAsia" w:ascii="宋体" w:hAnsi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52"/>
          <w:lang w:val="en-US" w:eastAsia="zh-CN"/>
        </w:rPr>
        <w:t>2025年度</w:t>
      </w:r>
      <w:r>
        <w:rPr>
          <w:rFonts w:hint="eastAsia" w:ascii="宋体" w:hAnsi="宋体"/>
          <w:b/>
          <w:sz w:val="48"/>
          <w:szCs w:val="48"/>
          <w:lang w:eastAsia="zh-CN"/>
        </w:rPr>
        <w:t>变压器</w:t>
      </w: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t>树脂料</w:t>
      </w:r>
    </w:p>
    <w:p w14:paraId="24232C16">
      <w:pPr>
        <w:spacing w:line="360" w:lineRule="auto"/>
        <w:ind w:firstLine="260" w:firstLineChars="50"/>
        <w:jc w:val="center"/>
        <w:rPr>
          <w:rFonts w:hint="eastAsia" w:ascii="宋体" w:hAnsi="宋体"/>
          <w:b/>
          <w:sz w:val="48"/>
          <w:szCs w:val="48"/>
          <w:u w:val="single"/>
        </w:rPr>
      </w:pPr>
      <w:r>
        <w:rPr>
          <w:rFonts w:hint="eastAsia" w:ascii="宋体" w:hAnsi="宋体"/>
          <w:b/>
          <w:sz w:val="52"/>
        </w:rPr>
        <w:t>物资采购项目</w:t>
      </w:r>
    </w:p>
    <w:p w14:paraId="3517EFCE">
      <w:pPr>
        <w:spacing w:line="360" w:lineRule="auto"/>
        <w:jc w:val="center"/>
        <w:rPr>
          <w:rFonts w:ascii="宋体"/>
          <w:b/>
          <w:sz w:val="48"/>
          <w:szCs w:val="48"/>
        </w:rPr>
      </w:pPr>
    </w:p>
    <w:p w14:paraId="648381A1">
      <w:pPr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 w14:paraId="7CD80079">
      <w:pPr>
        <w:spacing w:line="360" w:lineRule="auto"/>
        <w:jc w:val="center"/>
        <w:rPr>
          <w:rFonts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>技</w:t>
      </w:r>
    </w:p>
    <w:p w14:paraId="506B0B10">
      <w:pPr>
        <w:spacing w:line="360" w:lineRule="auto"/>
        <w:jc w:val="center"/>
        <w:rPr>
          <w:rFonts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>术</w:t>
      </w:r>
    </w:p>
    <w:p w14:paraId="066EC9F8">
      <w:pPr>
        <w:spacing w:line="360" w:lineRule="auto"/>
        <w:jc w:val="center"/>
        <w:rPr>
          <w:rFonts w:hint="eastAsia" w:ascii="宋体"/>
          <w:b/>
          <w:sz w:val="48"/>
          <w:szCs w:val="48"/>
          <w:lang w:val="en-US" w:eastAsia="zh-CN"/>
        </w:rPr>
      </w:pPr>
      <w:r>
        <w:rPr>
          <w:rFonts w:hint="eastAsia" w:ascii="宋体"/>
          <w:b/>
          <w:sz w:val="48"/>
          <w:szCs w:val="48"/>
          <w:lang w:val="en-US" w:eastAsia="zh-CN"/>
        </w:rPr>
        <w:t>规</w:t>
      </w:r>
    </w:p>
    <w:p w14:paraId="6EE426C9">
      <w:pPr>
        <w:spacing w:line="360" w:lineRule="auto"/>
        <w:jc w:val="center"/>
        <w:rPr>
          <w:rFonts w:hint="eastAsia" w:ascii="宋体"/>
          <w:b/>
          <w:sz w:val="48"/>
          <w:szCs w:val="48"/>
          <w:lang w:val="en-US" w:eastAsia="zh-CN"/>
        </w:rPr>
      </w:pPr>
      <w:r>
        <w:rPr>
          <w:rFonts w:hint="eastAsia" w:ascii="宋体"/>
          <w:b/>
          <w:sz w:val="48"/>
          <w:szCs w:val="48"/>
          <w:lang w:val="en-US" w:eastAsia="zh-CN"/>
        </w:rPr>
        <w:t>范</w:t>
      </w:r>
    </w:p>
    <w:p w14:paraId="16960900">
      <w:pPr>
        <w:spacing w:line="360" w:lineRule="auto"/>
        <w:jc w:val="center"/>
        <w:rPr>
          <w:rFonts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  <w:lang w:val="en-US" w:eastAsia="zh-CN"/>
        </w:rPr>
        <w:t>书</w:t>
      </w:r>
    </w:p>
    <w:p w14:paraId="0E560ED8">
      <w:pPr>
        <w:rPr>
          <w:rFonts w:hint="eastAsia" w:ascii="宋体" w:hAnsi="宋体" w:cs="宋体" w:eastAsiaTheme="minorEastAsia"/>
          <w:sz w:val="22"/>
          <w:szCs w:val="22"/>
          <w:lang w:eastAsia="zh-CN"/>
        </w:rPr>
      </w:pPr>
    </w:p>
    <w:p w14:paraId="7D5B5CAD">
      <w:pPr>
        <w:spacing w:line="360" w:lineRule="auto"/>
        <w:jc w:val="center"/>
        <w:rPr>
          <w:rFonts w:ascii="方正小标宋简体" w:eastAsia="方正小标宋简体"/>
          <w:sz w:val="72"/>
          <w:szCs w:val="72"/>
          <w:lang w:eastAsia="zh-CN"/>
        </w:rPr>
      </w:pPr>
    </w:p>
    <w:p w14:paraId="34FF43B2">
      <w:pPr>
        <w:spacing w:line="360" w:lineRule="auto"/>
        <w:jc w:val="center"/>
        <w:rPr>
          <w:rFonts w:ascii="方正小标宋简体" w:eastAsia="方正小标宋简体"/>
          <w:sz w:val="72"/>
          <w:szCs w:val="72"/>
          <w:lang w:eastAsia="zh-CN"/>
        </w:rPr>
      </w:pPr>
      <w:r>
        <w:rPr>
          <w:rFonts w:hint="eastAsia" w:ascii="方正小标宋简体" w:eastAsia="方正小标宋简体"/>
          <w:sz w:val="72"/>
          <w:szCs w:val="72"/>
          <w:lang w:eastAsia="zh-CN"/>
        </w:rPr>
        <w:t>招标文件</w:t>
      </w:r>
    </w:p>
    <w:p w14:paraId="2E420B78">
      <w:pPr>
        <w:pStyle w:val="4"/>
        <w:jc w:val="center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2025年3月</w:t>
      </w:r>
    </w:p>
    <w:p w14:paraId="06F2AE1C">
      <w:pPr>
        <w:kinsoku/>
        <w:autoSpaceDE/>
        <w:autoSpaceDN/>
        <w:adjustRightInd/>
        <w:snapToGrid/>
        <w:textAlignment w:val="auto"/>
        <w:rPr>
          <w:rFonts w:ascii="Times New Roman" w:hAnsi="Times New Roman" w:eastAsia="仿宋" w:cs="Times New Roman"/>
          <w:b/>
          <w:bCs/>
          <w:spacing w:val="-10"/>
          <w:sz w:val="24"/>
          <w:szCs w:val="24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br w:type="page"/>
      </w:r>
    </w:p>
    <w:p w14:paraId="0436C6B7">
      <w:pPr>
        <w:pStyle w:val="18"/>
        <w:jc w:val="center"/>
        <w:rPr>
          <w:rFonts w:hint="eastAsia" w:asciiTheme="minorEastAsia" w:hAnsiTheme="minorEastAsia" w:eastAsiaTheme="minorEastAsia"/>
          <w:b w:val="0"/>
          <w:sz w:val="36"/>
          <w:szCs w:val="36"/>
        </w:rPr>
      </w:pPr>
      <w:r>
        <w:rPr>
          <w:rFonts w:hint="eastAsia" w:asciiTheme="minorEastAsia" w:hAnsiTheme="minorEastAsia" w:eastAsiaTheme="minorEastAsia"/>
          <w:b w:val="0"/>
          <w:sz w:val="36"/>
          <w:szCs w:val="36"/>
        </w:rPr>
        <w:t>目  录</w:t>
      </w:r>
    </w:p>
    <w:sdt>
      <w:sdtPr>
        <w:rPr>
          <w:lang w:val="zh-CN"/>
        </w:rPr>
        <w:id w:val="26966365"/>
      </w:sdtPr>
      <w:sdtEndPr>
        <w:rPr>
          <w:lang w:val="zh-CN"/>
        </w:rPr>
      </w:sdtEndPr>
      <w:sdtContent>
        <w:p w14:paraId="44720317">
          <w:pPr>
            <w:jc w:val="center"/>
          </w:pPr>
        </w:p>
        <w:p w14:paraId="10CAF098">
          <w:pPr>
            <w:pStyle w:val="10"/>
            <w:tabs>
              <w:tab w:val="right" w:leader="dot" w:pos="9341"/>
            </w:tabs>
            <w:spacing w:before="120" w:beforeLines="50"/>
            <w:rPr>
              <w:rFonts w:hint="eastAsia" w:asciiTheme="minorHAnsi" w:hAnsiTheme="minorHAnsi" w:eastAsiaTheme="minorEastAsia" w:cstheme="minorBidi"/>
              <w:snapToGrid/>
              <w:color w:val="auto"/>
              <w:kern w:val="2"/>
              <w:sz w:val="24"/>
              <w:szCs w:val="24"/>
              <w:lang w:eastAsia="zh-CN"/>
              <w14:ligatures w14:val="standardContextual"/>
            </w:rPr>
          </w:pPr>
          <w:r>
            <w:rPr>
              <w:rFonts w:ascii="Calibri" w:hAnsi="Calibri"/>
              <w:b/>
              <w:bCs/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rFonts w:ascii="Calibri" w:hAnsi="Calibri"/>
              <w:b/>
              <w:bCs/>
              <w:caps/>
            </w:rPr>
            <w:fldChar w:fldCharType="separate"/>
          </w:r>
          <w:r>
            <w:fldChar w:fldCharType="begin"/>
          </w:r>
          <w:r>
            <w:instrText xml:space="preserve"> HYPERLINK \l "_Toc192579941" </w:instrText>
          </w:r>
          <w:r>
            <w:fldChar w:fldCharType="separate"/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  <w:t>1  范围</w:t>
          </w:r>
          <w:r>
            <w:rPr>
              <w:rFonts w:hint="eastAsia"/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</w:rPr>
            <w:fldChar w:fldCharType="begin"/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instrText xml:space="preserve">PAGEREF _Toc192579941 \h</w:instrText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3</w:t>
          </w:r>
          <w:r>
            <w:rPr>
              <w:rFonts w:hint="eastAsia"/>
              <w:sz w:val="24"/>
              <w:szCs w:val="24"/>
            </w:rPr>
            <w:fldChar w:fldCharType="end"/>
          </w:r>
          <w:r>
            <w:rPr>
              <w:rFonts w:hint="eastAsia"/>
              <w:sz w:val="24"/>
              <w:szCs w:val="24"/>
            </w:rPr>
            <w:fldChar w:fldCharType="end"/>
          </w:r>
        </w:p>
        <w:p w14:paraId="547CB868">
          <w:pPr>
            <w:pStyle w:val="10"/>
            <w:tabs>
              <w:tab w:val="right" w:leader="dot" w:pos="9341"/>
            </w:tabs>
            <w:spacing w:before="120" w:beforeLines="50"/>
            <w:rPr>
              <w:rFonts w:hint="eastAsia" w:asciiTheme="minorHAnsi" w:hAnsiTheme="minorHAnsi" w:eastAsiaTheme="minorEastAsia" w:cstheme="minorBidi"/>
              <w:snapToGrid/>
              <w:color w:val="auto"/>
              <w:kern w:val="2"/>
              <w:sz w:val="24"/>
              <w:szCs w:val="24"/>
              <w:lang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"_Toc192579942" </w:instrText>
          </w:r>
          <w:r>
            <w:fldChar w:fldCharType="separate"/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  <w:t>2   引用标准</w:t>
          </w:r>
          <w:r>
            <w:rPr>
              <w:rFonts w:hint="eastAsia"/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</w:rPr>
            <w:fldChar w:fldCharType="begin"/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instrText xml:space="preserve">PAGEREF _Toc192579942 \h</w:instrText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3</w:t>
          </w:r>
          <w:r>
            <w:rPr>
              <w:rFonts w:hint="eastAsia"/>
              <w:sz w:val="24"/>
              <w:szCs w:val="24"/>
            </w:rPr>
            <w:fldChar w:fldCharType="end"/>
          </w:r>
          <w:r>
            <w:rPr>
              <w:rFonts w:hint="eastAsia"/>
              <w:sz w:val="24"/>
              <w:szCs w:val="24"/>
            </w:rPr>
            <w:fldChar w:fldCharType="end"/>
          </w:r>
        </w:p>
        <w:p w14:paraId="4FBB48AB">
          <w:pPr>
            <w:pStyle w:val="10"/>
            <w:tabs>
              <w:tab w:val="right" w:leader="dot" w:pos="9341"/>
            </w:tabs>
            <w:spacing w:before="120" w:beforeLines="50"/>
            <w:rPr>
              <w:rFonts w:hint="eastAsia" w:asciiTheme="minorHAnsi" w:hAnsiTheme="minorHAnsi" w:eastAsiaTheme="minorEastAsia" w:cstheme="minorBidi"/>
              <w:snapToGrid/>
              <w:color w:val="auto"/>
              <w:kern w:val="2"/>
              <w:sz w:val="24"/>
              <w:szCs w:val="24"/>
              <w:lang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"_Toc192579943" </w:instrText>
          </w:r>
          <w:r>
            <w:fldChar w:fldCharType="separate"/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  <w:t>3  技术要求</w:t>
          </w:r>
          <w:r>
            <w:rPr>
              <w:rFonts w:hint="eastAsia"/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</w:rPr>
            <w:fldChar w:fldCharType="begin"/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instrText xml:space="preserve">PAGEREF _Toc192579943 \h</w:instrText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3</w:t>
          </w:r>
          <w:r>
            <w:rPr>
              <w:rFonts w:hint="eastAsia"/>
              <w:sz w:val="24"/>
              <w:szCs w:val="24"/>
            </w:rPr>
            <w:fldChar w:fldCharType="end"/>
          </w:r>
          <w:r>
            <w:rPr>
              <w:rFonts w:hint="eastAsia"/>
              <w:sz w:val="24"/>
              <w:szCs w:val="24"/>
            </w:rPr>
            <w:fldChar w:fldCharType="end"/>
          </w:r>
        </w:p>
        <w:p w14:paraId="5EDFAE9F">
          <w:pPr>
            <w:pStyle w:val="10"/>
            <w:tabs>
              <w:tab w:val="right" w:leader="dot" w:pos="9341"/>
            </w:tabs>
            <w:spacing w:before="120" w:beforeLines="50"/>
            <w:rPr>
              <w:rFonts w:hint="eastAsia" w:asciiTheme="minorHAnsi" w:hAnsiTheme="minorHAnsi" w:eastAsiaTheme="minorEastAsia" w:cstheme="minorBidi"/>
              <w:snapToGrid/>
              <w:color w:val="auto"/>
              <w:kern w:val="2"/>
              <w:sz w:val="24"/>
              <w:szCs w:val="24"/>
              <w:lang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"_Toc192579944" </w:instrText>
          </w:r>
          <w:r>
            <w:fldChar w:fldCharType="separate"/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</w:rPr>
            <w:t xml:space="preserve">4 </w:t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  <w:t xml:space="preserve">  </w:t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</w:rPr>
            <w:t>检验</w:t>
          </w:r>
          <w:r>
            <w:rPr>
              <w:rFonts w:hint="eastAsia"/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</w:rPr>
            <w:fldChar w:fldCharType="begin"/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instrText xml:space="preserve">PAGEREF _Toc192579944 \h</w:instrText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rFonts w:hint="eastAsia"/>
              <w:sz w:val="24"/>
              <w:szCs w:val="24"/>
            </w:rPr>
            <w:fldChar w:fldCharType="end"/>
          </w:r>
          <w:r>
            <w:rPr>
              <w:rFonts w:hint="eastAsia"/>
              <w:sz w:val="24"/>
              <w:szCs w:val="24"/>
            </w:rPr>
            <w:fldChar w:fldCharType="end"/>
          </w:r>
        </w:p>
        <w:p w14:paraId="463AF62F">
          <w:pPr>
            <w:pStyle w:val="10"/>
            <w:tabs>
              <w:tab w:val="right" w:leader="dot" w:pos="9341"/>
            </w:tabs>
            <w:spacing w:before="120" w:beforeLines="50"/>
            <w:rPr>
              <w:rFonts w:hint="eastAsia" w:asciiTheme="minorHAnsi" w:hAnsiTheme="minorHAnsi" w:eastAsiaTheme="minorEastAsia" w:cstheme="minorBidi"/>
              <w:snapToGrid/>
              <w:color w:val="auto"/>
              <w:kern w:val="2"/>
              <w:sz w:val="24"/>
              <w:szCs w:val="24"/>
              <w:lang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"_Toc192579945" </w:instrText>
          </w:r>
          <w:r>
            <w:fldChar w:fldCharType="separate"/>
          </w:r>
          <w:r>
            <w:rPr>
              <w:rStyle w:val="13"/>
              <w:rFonts w:hint="eastAsia"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  <w:t>5  标志、运输、贮存</w:t>
          </w:r>
          <w:r>
            <w:rPr>
              <w:rFonts w:hint="eastAsia"/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</w:rPr>
            <w:fldChar w:fldCharType="begin"/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instrText xml:space="preserve">PAGEREF _Toc192579945 \h</w:instrText>
          </w:r>
          <w:r>
            <w:rPr>
              <w:rFonts w:hint="eastAsia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6</w:t>
          </w:r>
          <w:r>
            <w:rPr>
              <w:rFonts w:hint="eastAsia"/>
              <w:sz w:val="24"/>
              <w:szCs w:val="24"/>
            </w:rPr>
            <w:fldChar w:fldCharType="end"/>
          </w:r>
          <w:r>
            <w:rPr>
              <w:rFonts w:hint="eastAsia"/>
              <w:sz w:val="24"/>
              <w:szCs w:val="24"/>
            </w:rPr>
            <w:fldChar w:fldCharType="end"/>
          </w:r>
        </w:p>
        <w:p w14:paraId="09B07014">
          <w:pPr>
            <w:kinsoku/>
            <w:autoSpaceDE/>
            <w:autoSpaceDN/>
            <w:adjustRightInd/>
            <w:snapToGrid/>
            <w:textAlignment w:val="auto"/>
            <w:rPr>
              <w:rFonts w:ascii="Times New Roman" w:hAnsi="Times New Roman" w:eastAsia="仿宋" w:cs="Times New Roman"/>
              <w:b/>
              <w:bCs/>
              <w:spacing w:val="-10"/>
              <w:sz w:val="24"/>
              <w:szCs w:val="24"/>
              <w:lang w:eastAsia="zh-CN"/>
            </w:rPr>
          </w:pPr>
          <w:r>
            <w:fldChar w:fldCharType="end"/>
          </w:r>
        </w:p>
      </w:sdtContent>
    </w:sdt>
    <w:p w14:paraId="15830B04">
      <w:pPr>
        <w:kinsoku/>
        <w:autoSpaceDE/>
        <w:autoSpaceDN/>
        <w:adjustRightInd/>
        <w:snapToGrid/>
        <w:spacing w:before="120" w:beforeLines="50"/>
        <w:textAlignment w:val="auto"/>
        <w:rPr>
          <w:rFonts w:ascii="Times New Roman" w:hAnsi="Times New Roman" w:eastAsia="仿宋" w:cs="Times New Roman"/>
          <w:b/>
          <w:bCs/>
          <w:spacing w:val="-10"/>
          <w:sz w:val="24"/>
          <w:szCs w:val="24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br w:type="page"/>
      </w:r>
    </w:p>
    <w:p w14:paraId="36BED28F">
      <w:pPr>
        <w:pStyle w:val="4"/>
        <w:spacing w:before="160" w:after="160" w:line="221" w:lineRule="auto"/>
        <w:outlineLvl w:val="1"/>
        <w:rPr>
          <w:rFonts w:ascii="Times New Roman" w:hAnsi="Times New Roman"/>
          <w:sz w:val="21"/>
          <w:lang w:eastAsia="zh-CN"/>
        </w:rPr>
      </w:pPr>
      <w:bookmarkStart w:id="0" w:name="_Toc192579941"/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1</w:t>
      </w:r>
      <w:r>
        <w:rPr>
          <w:rFonts w:hint="eastAsia" w:ascii="Times New Roman" w:hAnsi="Times New Roman" w:eastAsia="仿宋" w:cs="Times New Roman"/>
          <w:b/>
          <w:bCs/>
          <w:spacing w:val="-10"/>
          <w:lang w:eastAsia="zh-CN"/>
        </w:rPr>
        <w:t xml:space="preserve">  范围</w:t>
      </w:r>
      <w:bookmarkEnd w:id="0"/>
    </w:p>
    <w:p w14:paraId="51A09B3A">
      <w:pPr>
        <w:pStyle w:val="4"/>
        <w:spacing w:line="360" w:lineRule="auto"/>
        <w:ind w:firstLine="238" w:firstLineChars="1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本技术条件规定了我公司订购环氧树脂的要求、试验方法、检验规则、标志、包装、运输等。</w:t>
      </w:r>
    </w:p>
    <w:p w14:paraId="196FF3C3">
      <w:pPr>
        <w:pStyle w:val="4"/>
        <w:spacing w:line="360" w:lineRule="auto"/>
        <w:ind w:firstLine="238" w:firstLineChars="100"/>
        <w:jc w:val="both"/>
        <w:rPr>
          <w:rFonts w:ascii="Times New Roman" w:hAnsi="Times New Roman"/>
          <w:sz w:val="2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本技术条件可作为我公司向供应商订货的技术依据，亦可作为技术协议使用。</w:t>
      </w:r>
    </w:p>
    <w:p w14:paraId="76E744B2">
      <w:pPr>
        <w:pStyle w:val="4"/>
        <w:spacing w:before="160" w:after="160" w:line="221" w:lineRule="auto"/>
        <w:outlineLvl w:val="1"/>
        <w:rPr>
          <w:rFonts w:ascii="Times New Roman" w:hAnsi="Times New Roman"/>
          <w:sz w:val="21"/>
          <w:lang w:eastAsia="zh-CN"/>
        </w:rPr>
      </w:pPr>
      <w:bookmarkStart w:id="1" w:name="_Toc192579942"/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 xml:space="preserve">2 </w:t>
      </w:r>
      <w:r>
        <w:rPr>
          <w:rFonts w:hint="eastAsia" w:ascii="Times New Roman" w:hAnsi="Times New Roman" w:eastAsia="仿宋" w:cs="Times New Roman"/>
          <w:b/>
          <w:bCs/>
          <w:spacing w:val="-10"/>
          <w:lang w:eastAsia="zh-CN"/>
        </w:rPr>
        <w:t xml:space="preserve">  </w:t>
      </w:r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引用标准</w:t>
      </w:r>
      <w:bookmarkEnd w:id="1"/>
    </w:p>
    <w:p w14:paraId="21435E19">
      <w:pPr>
        <w:pStyle w:val="4"/>
        <w:spacing w:line="360" w:lineRule="auto"/>
        <w:ind w:firstLine="238" w:firstLineChars="1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下列文件中的条款通过本文件的引用而成为本文件的条款。凡注明日期的引用文件，其随后所有的修订单（不包括勘误的内容）或修订版均不适用于本文件，凡是不注明日期的引用文件，其最新版本适用于本文件。</w:t>
      </w:r>
    </w:p>
    <w:p w14:paraId="307D9B42">
      <w:pPr>
        <w:spacing w:line="37" w:lineRule="exact"/>
        <w:rPr>
          <w:rFonts w:ascii="Times New Roman" w:hAnsi="Times New Roman" w:eastAsia="宋体"/>
          <w:lang w:eastAsia="zh-CN"/>
        </w:rPr>
      </w:pPr>
    </w:p>
    <w:tbl>
      <w:tblPr>
        <w:tblStyle w:val="15"/>
        <w:tblW w:w="8231" w:type="dxa"/>
        <w:tblInd w:w="533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9"/>
        <w:gridCol w:w="6232"/>
      </w:tblGrid>
      <w:tr w14:paraId="506935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999" w:type="dxa"/>
          </w:tcPr>
          <w:p w14:paraId="5DB9F2F7">
            <w:pPr>
              <w:pStyle w:val="16"/>
              <w:spacing w:before="40" w:line="190" w:lineRule="auto"/>
              <w:rPr>
                <w:rFonts w:eastAsia="宋体"/>
              </w:rPr>
            </w:pPr>
            <w:r>
              <w:rPr>
                <w:rFonts w:eastAsia="宋体"/>
                <w:spacing w:val="-5"/>
              </w:rPr>
              <w:t>GB/T</w:t>
            </w:r>
            <w:r>
              <w:rPr>
                <w:rFonts w:eastAsia="宋体"/>
                <w:spacing w:val="33"/>
              </w:rPr>
              <w:t xml:space="preserve"> </w:t>
            </w:r>
            <w:r>
              <w:rPr>
                <w:rFonts w:eastAsia="宋体"/>
                <w:spacing w:val="-5"/>
              </w:rPr>
              <w:t>13657</w:t>
            </w:r>
          </w:p>
        </w:tc>
        <w:tc>
          <w:tcPr>
            <w:tcW w:w="6232" w:type="dxa"/>
          </w:tcPr>
          <w:p w14:paraId="41AACC37">
            <w:pPr>
              <w:pStyle w:val="16"/>
              <w:spacing w:line="219" w:lineRule="auto"/>
              <w:ind w:left="287"/>
              <w:rPr>
                <w:rFonts w:eastAsia="宋体" w:cs="宋体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双酚</w:t>
            </w:r>
            <w:r>
              <w:rPr>
                <w:rFonts w:hint="eastAsia" w:ascii="仿宋" w:hAnsi="仿宋" w:eastAsia="仿宋" w:cs="仿宋"/>
                <w:spacing w:val="-6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A 型环氧树脂</w:t>
            </w:r>
          </w:p>
        </w:tc>
      </w:tr>
      <w:tr w14:paraId="794123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6F3DADBA">
            <w:pPr>
              <w:pStyle w:val="16"/>
              <w:spacing w:before="153" w:line="190" w:lineRule="auto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GB/T 4612</w:t>
            </w:r>
          </w:p>
        </w:tc>
        <w:tc>
          <w:tcPr>
            <w:tcW w:w="6232" w:type="dxa"/>
          </w:tcPr>
          <w:p w14:paraId="2C3E9E06">
            <w:pPr>
              <w:spacing w:before="112" w:line="220" w:lineRule="auto"/>
              <w:ind w:left="292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塑料 环氧化合物 环氧当量的测定</w:t>
            </w:r>
          </w:p>
        </w:tc>
      </w:tr>
      <w:tr w14:paraId="4FF2DBC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530BE31C">
            <w:pPr>
              <w:pStyle w:val="16"/>
              <w:spacing w:before="154" w:line="190" w:lineRule="auto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GB/T 12007</w:t>
            </w:r>
            <w:r>
              <w:rPr>
                <w:rFonts w:ascii="仿宋" w:hAnsi="仿宋" w:eastAsia="仿宋"/>
                <w:spacing w:val="-4"/>
              </w:rPr>
              <w:t>.</w:t>
            </w:r>
            <w:r>
              <w:rPr>
                <w:rFonts w:eastAsia="宋体"/>
                <w:spacing w:val="-4"/>
              </w:rPr>
              <w:t>1</w:t>
            </w:r>
          </w:p>
        </w:tc>
        <w:tc>
          <w:tcPr>
            <w:tcW w:w="6232" w:type="dxa"/>
          </w:tcPr>
          <w:p w14:paraId="0A148304">
            <w:pPr>
              <w:spacing w:before="113" w:line="220" w:lineRule="auto"/>
              <w:ind w:left="294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环氧树脂颜色测定方法加德纳色度法</w:t>
            </w:r>
          </w:p>
        </w:tc>
      </w:tr>
      <w:tr w14:paraId="45A979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32E5A13B">
            <w:pPr>
              <w:pStyle w:val="16"/>
              <w:spacing w:before="154" w:line="190" w:lineRule="auto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GB/T</w:t>
            </w:r>
            <w:r>
              <w:rPr>
                <w:rFonts w:eastAsia="宋体"/>
                <w:spacing w:val="27"/>
                <w:w w:val="101"/>
              </w:rPr>
              <w:t xml:space="preserve"> </w:t>
            </w:r>
            <w:r>
              <w:rPr>
                <w:rFonts w:eastAsia="宋体"/>
                <w:spacing w:val="-4"/>
              </w:rPr>
              <w:t>12007.</w:t>
            </w:r>
            <w:r>
              <w:rPr>
                <w:rFonts w:eastAsia="宋体"/>
                <w:spacing w:val="11"/>
              </w:rPr>
              <w:t xml:space="preserve"> </w:t>
            </w:r>
            <w:r>
              <w:rPr>
                <w:rFonts w:eastAsia="宋体"/>
                <w:spacing w:val="-4"/>
              </w:rPr>
              <w:t>4</w:t>
            </w:r>
          </w:p>
        </w:tc>
        <w:tc>
          <w:tcPr>
            <w:tcW w:w="6232" w:type="dxa"/>
          </w:tcPr>
          <w:p w14:paraId="2E6722A9">
            <w:pPr>
              <w:spacing w:before="113" w:line="220" w:lineRule="auto"/>
              <w:ind w:left="294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环氧树脂粘度测定方法</w:t>
            </w:r>
          </w:p>
        </w:tc>
      </w:tr>
      <w:tr w14:paraId="7E8CD9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119972C9">
            <w:pPr>
              <w:pStyle w:val="16"/>
              <w:spacing w:before="154" w:line="190" w:lineRule="auto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GB/T</w:t>
            </w:r>
            <w:r>
              <w:rPr>
                <w:rFonts w:eastAsia="宋体"/>
                <w:spacing w:val="27"/>
              </w:rPr>
              <w:t xml:space="preserve"> </w:t>
            </w:r>
            <w:r>
              <w:rPr>
                <w:rFonts w:eastAsia="宋体"/>
                <w:spacing w:val="-4"/>
              </w:rPr>
              <w:t>12007.</w:t>
            </w:r>
            <w:r>
              <w:rPr>
                <w:rFonts w:eastAsia="宋体"/>
                <w:spacing w:val="19"/>
              </w:rPr>
              <w:t xml:space="preserve"> </w:t>
            </w:r>
            <w:r>
              <w:rPr>
                <w:rFonts w:eastAsia="宋体"/>
                <w:spacing w:val="-4"/>
              </w:rPr>
              <w:t>5</w:t>
            </w:r>
          </w:p>
        </w:tc>
        <w:tc>
          <w:tcPr>
            <w:tcW w:w="6232" w:type="dxa"/>
          </w:tcPr>
          <w:p w14:paraId="46D5438A">
            <w:pPr>
              <w:spacing w:before="113" w:line="220" w:lineRule="auto"/>
              <w:ind w:left="294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环氧树脂密度的测定方法、比重瓶法</w:t>
            </w:r>
          </w:p>
        </w:tc>
      </w:tr>
      <w:tr w14:paraId="6633C0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999" w:type="dxa"/>
          </w:tcPr>
          <w:p w14:paraId="7C86B14F">
            <w:pPr>
              <w:pStyle w:val="16"/>
              <w:spacing w:before="155" w:line="190" w:lineRule="auto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GB/T 22228-2008</w:t>
            </w:r>
          </w:p>
        </w:tc>
        <w:tc>
          <w:tcPr>
            <w:tcW w:w="6232" w:type="dxa"/>
          </w:tcPr>
          <w:p w14:paraId="564D1537">
            <w:pPr>
              <w:pStyle w:val="16"/>
              <w:spacing w:line="219" w:lineRule="auto"/>
              <w:ind w:left="287"/>
              <w:rPr>
                <w:rFonts w:hint="eastAsia" w:ascii="仿宋" w:hAnsi="仿宋" w:eastAsia="仿宋" w:cs="仿宋"/>
                <w:spacing w:val="-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lang w:eastAsia="zh-CN"/>
              </w:rPr>
              <w:t>工业用化学品 固体及液体的蒸气压在 10-1Pa 至 105Pa  范围内的测定 静态法</w:t>
            </w:r>
          </w:p>
        </w:tc>
      </w:tr>
      <w:tr w14:paraId="2747FB2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6A5A158B">
            <w:pPr>
              <w:pStyle w:val="16"/>
              <w:spacing w:before="154" w:line="190" w:lineRule="auto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GB/T</w:t>
            </w:r>
            <w:r>
              <w:rPr>
                <w:rFonts w:eastAsia="宋体"/>
                <w:spacing w:val="27"/>
              </w:rPr>
              <w:t xml:space="preserve"> </w:t>
            </w:r>
            <w:r>
              <w:rPr>
                <w:rFonts w:eastAsia="宋体"/>
                <w:spacing w:val="-4"/>
              </w:rPr>
              <w:t>12007.</w:t>
            </w:r>
            <w:r>
              <w:rPr>
                <w:rFonts w:eastAsia="宋体"/>
                <w:spacing w:val="17"/>
                <w:w w:val="101"/>
              </w:rPr>
              <w:t xml:space="preserve"> </w:t>
            </w:r>
            <w:r>
              <w:rPr>
                <w:rFonts w:eastAsia="宋体"/>
                <w:spacing w:val="-4"/>
              </w:rPr>
              <w:t>6</w:t>
            </w:r>
          </w:p>
        </w:tc>
        <w:tc>
          <w:tcPr>
            <w:tcW w:w="6232" w:type="dxa"/>
          </w:tcPr>
          <w:p w14:paraId="1CF96943">
            <w:pPr>
              <w:spacing w:before="114" w:line="220" w:lineRule="auto"/>
              <w:ind w:left="294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环氧树脂软化点的测定方法环球法</w:t>
            </w:r>
          </w:p>
        </w:tc>
      </w:tr>
      <w:tr w14:paraId="31ECC39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999" w:type="dxa"/>
          </w:tcPr>
          <w:p w14:paraId="0F7B7392">
            <w:pPr>
              <w:pStyle w:val="16"/>
              <w:spacing w:before="155" w:line="190" w:lineRule="auto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GB/T</w:t>
            </w:r>
            <w:r>
              <w:rPr>
                <w:rFonts w:eastAsia="宋体"/>
                <w:spacing w:val="27"/>
              </w:rPr>
              <w:t xml:space="preserve"> </w:t>
            </w:r>
            <w:r>
              <w:rPr>
                <w:rFonts w:eastAsia="宋体"/>
                <w:spacing w:val="-4"/>
              </w:rPr>
              <w:t>12007.</w:t>
            </w:r>
            <w:r>
              <w:rPr>
                <w:rFonts w:eastAsia="宋体"/>
                <w:spacing w:val="16"/>
              </w:rPr>
              <w:t xml:space="preserve"> </w:t>
            </w:r>
            <w:r>
              <w:rPr>
                <w:rFonts w:eastAsia="宋体"/>
                <w:spacing w:val="-4"/>
              </w:rPr>
              <w:t>7</w:t>
            </w:r>
          </w:p>
        </w:tc>
        <w:tc>
          <w:tcPr>
            <w:tcW w:w="6232" w:type="dxa"/>
          </w:tcPr>
          <w:p w14:paraId="0E0D5E71">
            <w:pPr>
              <w:spacing w:before="114" w:line="220" w:lineRule="auto"/>
              <w:ind w:left="294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环氧树脂凝胶时间测定方法</w:t>
            </w:r>
          </w:p>
        </w:tc>
      </w:tr>
      <w:tr w14:paraId="0E0EF0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999" w:type="dxa"/>
          </w:tcPr>
          <w:p w14:paraId="6317FD40">
            <w:pPr>
              <w:pStyle w:val="16"/>
              <w:spacing w:before="154" w:line="187" w:lineRule="auto"/>
              <w:ind w:left="64"/>
              <w:rPr>
                <w:rFonts w:eastAsia="宋体"/>
              </w:rPr>
            </w:pPr>
            <w:r>
              <w:rPr>
                <w:rFonts w:eastAsia="宋体"/>
                <w:spacing w:val="-6"/>
              </w:rPr>
              <w:t>GB</w:t>
            </w:r>
            <w:r>
              <w:rPr>
                <w:rFonts w:eastAsia="宋体"/>
                <w:spacing w:val="31"/>
                <w:w w:val="101"/>
              </w:rPr>
              <w:t xml:space="preserve"> </w:t>
            </w:r>
            <w:r>
              <w:rPr>
                <w:rFonts w:eastAsia="宋体"/>
                <w:spacing w:val="-6"/>
              </w:rPr>
              <w:t>1040</w:t>
            </w:r>
          </w:p>
        </w:tc>
        <w:tc>
          <w:tcPr>
            <w:tcW w:w="6232" w:type="dxa"/>
          </w:tcPr>
          <w:p w14:paraId="2A5B5D16">
            <w:pPr>
              <w:spacing w:before="110" w:line="221" w:lineRule="auto"/>
              <w:ind w:left="391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塑料 拉伸性能的测定</w:t>
            </w:r>
          </w:p>
        </w:tc>
      </w:tr>
      <w:tr w14:paraId="75A9C3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6E3ACF8E">
            <w:pPr>
              <w:pStyle w:val="16"/>
              <w:spacing w:before="154" w:line="190" w:lineRule="auto"/>
              <w:ind w:left="64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GB/T 9341</w:t>
            </w:r>
          </w:p>
        </w:tc>
        <w:tc>
          <w:tcPr>
            <w:tcW w:w="6232" w:type="dxa"/>
          </w:tcPr>
          <w:p w14:paraId="61397E29">
            <w:pPr>
              <w:spacing w:before="114" w:line="221" w:lineRule="auto"/>
              <w:ind w:left="356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塑料 弯曲性能的测定</w:t>
            </w:r>
          </w:p>
        </w:tc>
      </w:tr>
      <w:tr w14:paraId="79346E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999" w:type="dxa"/>
          </w:tcPr>
          <w:p w14:paraId="0CB3B48F">
            <w:pPr>
              <w:pStyle w:val="16"/>
              <w:spacing w:before="158" w:line="187" w:lineRule="auto"/>
              <w:ind w:left="64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GB</w:t>
            </w:r>
            <w:r>
              <w:rPr>
                <w:rFonts w:eastAsia="宋体"/>
                <w:spacing w:val="34"/>
              </w:rPr>
              <w:t xml:space="preserve"> </w:t>
            </w:r>
            <w:r>
              <w:rPr>
                <w:rFonts w:eastAsia="宋体"/>
                <w:spacing w:val="-4"/>
              </w:rPr>
              <w:t>1034-2008</w:t>
            </w:r>
          </w:p>
        </w:tc>
        <w:tc>
          <w:tcPr>
            <w:tcW w:w="6232" w:type="dxa"/>
          </w:tcPr>
          <w:p w14:paraId="65228AD1">
            <w:pPr>
              <w:spacing w:before="115" w:line="220" w:lineRule="auto"/>
              <w:ind w:left="349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塑料 吸水率的测定</w:t>
            </w:r>
          </w:p>
        </w:tc>
      </w:tr>
      <w:tr w14:paraId="0E918A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999" w:type="dxa"/>
          </w:tcPr>
          <w:p w14:paraId="6B919095">
            <w:pPr>
              <w:pStyle w:val="16"/>
              <w:spacing w:before="159" w:line="187" w:lineRule="auto"/>
              <w:ind w:left="64"/>
              <w:rPr>
                <w:rFonts w:eastAsia="宋体"/>
              </w:rPr>
            </w:pPr>
            <w:r>
              <w:rPr>
                <w:rFonts w:eastAsia="宋体"/>
                <w:spacing w:val="-6"/>
              </w:rPr>
              <w:t>GB</w:t>
            </w:r>
            <w:r>
              <w:rPr>
                <w:rFonts w:eastAsia="宋体"/>
                <w:spacing w:val="31"/>
                <w:w w:val="101"/>
              </w:rPr>
              <w:t xml:space="preserve"> </w:t>
            </w:r>
            <w:r>
              <w:rPr>
                <w:rFonts w:eastAsia="宋体"/>
                <w:spacing w:val="-6"/>
              </w:rPr>
              <w:t>1043</w:t>
            </w:r>
          </w:p>
        </w:tc>
        <w:tc>
          <w:tcPr>
            <w:tcW w:w="6232" w:type="dxa"/>
          </w:tcPr>
          <w:p w14:paraId="4A648D67">
            <w:pPr>
              <w:spacing w:before="115" w:line="220" w:lineRule="auto"/>
              <w:ind w:left="391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塑料 简支梁冲击性能的测定</w:t>
            </w:r>
          </w:p>
        </w:tc>
      </w:tr>
      <w:tr w14:paraId="1EC78C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999" w:type="dxa"/>
          </w:tcPr>
          <w:p w14:paraId="006FA1F2">
            <w:pPr>
              <w:pStyle w:val="16"/>
              <w:spacing w:before="154" w:line="166" w:lineRule="auto"/>
              <w:ind w:left="64"/>
              <w:rPr>
                <w:rFonts w:eastAsia="宋体"/>
              </w:rPr>
            </w:pPr>
            <w:r>
              <w:rPr>
                <w:rFonts w:eastAsia="宋体"/>
                <w:spacing w:val="-5"/>
              </w:rPr>
              <w:t>GB/T</w:t>
            </w:r>
            <w:r>
              <w:rPr>
                <w:rFonts w:eastAsia="宋体"/>
                <w:spacing w:val="28"/>
              </w:rPr>
              <w:t xml:space="preserve"> </w:t>
            </w:r>
            <w:r>
              <w:rPr>
                <w:rFonts w:eastAsia="宋体"/>
                <w:spacing w:val="-5"/>
              </w:rPr>
              <w:t>1408</w:t>
            </w:r>
          </w:p>
        </w:tc>
        <w:tc>
          <w:tcPr>
            <w:tcW w:w="6232" w:type="dxa"/>
          </w:tcPr>
          <w:p w14:paraId="55A4651A">
            <w:pPr>
              <w:spacing w:before="114" w:line="177" w:lineRule="auto"/>
              <w:ind w:left="353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绝缘材料电气强度试验方法</w:t>
            </w:r>
          </w:p>
        </w:tc>
      </w:tr>
    </w:tbl>
    <w:p w14:paraId="68616D28">
      <w:pPr>
        <w:pStyle w:val="4"/>
        <w:spacing w:before="227" w:line="213" w:lineRule="auto"/>
        <w:ind w:left="596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TMA</w:t>
      </w:r>
      <w:r>
        <w:rPr>
          <w:rFonts w:ascii="Times New Roman" w:hAnsi="Times New Roman"/>
        </w:rPr>
        <w:t>（</w:t>
      </w:r>
      <w:r>
        <w:rPr>
          <w:rFonts w:ascii="Times New Roman" w:hAnsi="Times New Roman" w:cs="Times New Roman"/>
        </w:rPr>
        <w:t>Thermomechanical analysis</w:t>
      </w:r>
      <w:r>
        <w:rPr>
          <w:rFonts w:ascii="Times New Roman" w:hAnsi="Times New Roman"/>
        </w:rPr>
        <w:t xml:space="preserve">）   </w:t>
      </w:r>
      <w:r>
        <w:rPr>
          <w:rFonts w:hint="eastAsia" w:ascii="仿宋" w:hAnsi="仿宋" w:eastAsia="仿宋" w:cs="仿宋"/>
        </w:rPr>
        <w:t>热机械分析法</w:t>
      </w:r>
    </w:p>
    <w:p w14:paraId="7CA58466">
      <w:pPr>
        <w:pStyle w:val="4"/>
        <w:spacing w:before="160" w:after="160" w:line="221" w:lineRule="auto"/>
        <w:outlineLvl w:val="1"/>
        <w:rPr>
          <w:rFonts w:hint="eastAsia" w:ascii="Arial"/>
          <w:sz w:val="21"/>
          <w:lang w:eastAsia="zh-CN"/>
        </w:rPr>
      </w:pPr>
      <w:bookmarkStart w:id="2" w:name="_Toc192579943"/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3</w:t>
      </w:r>
      <w:r>
        <w:rPr>
          <w:rFonts w:hint="eastAsia" w:ascii="Times New Roman" w:hAnsi="Times New Roman" w:eastAsia="仿宋" w:cs="Times New Roman"/>
          <w:b/>
          <w:bCs/>
          <w:spacing w:val="-10"/>
          <w:lang w:eastAsia="zh-CN"/>
        </w:rPr>
        <w:t xml:space="preserve">  </w:t>
      </w:r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技术要求</w:t>
      </w:r>
      <w:bookmarkEnd w:id="2"/>
    </w:p>
    <w:p w14:paraId="74D53A55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3. 1  单组分性能指标</w:t>
      </w:r>
    </w:p>
    <w:p w14:paraId="33167A15">
      <w:pPr>
        <w:spacing w:line="220" w:lineRule="auto"/>
        <w:rPr>
          <w:rFonts w:ascii="Times New Roman" w:hAnsi="Times New Roman" w:eastAsia="宋体" w:cs="Times New Roman"/>
          <w:lang w:eastAsia="zh-CN"/>
        </w:rPr>
        <w:sectPr>
          <w:footerReference r:id="rId3" w:type="default"/>
          <w:pgSz w:w="11903" w:h="16841"/>
          <w:pgMar w:top="1418" w:right="1134" w:bottom="1134" w:left="1418" w:header="0" w:footer="0" w:gutter="0"/>
          <w:cols w:space="0" w:num="1"/>
          <w:titlePg/>
          <w:docGrid w:linePitch="286" w:charSpace="0"/>
        </w:sectPr>
      </w:pPr>
    </w:p>
    <w:p w14:paraId="005641F6">
      <w:pPr>
        <w:pStyle w:val="4"/>
        <w:spacing w:line="360" w:lineRule="auto"/>
        <w:ind w:firstLine="238" w:firstLineChars="1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以下 4 种材料需单独提供，到公司后混合使用。</w:t>
      </w:r>
    </w:p>
    <w:p w14:paraId="082D350A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a</w:t>
      </w:r>
      <w:r>
        <w:rPr>
          <w:rFonts w:ascii="仿宋" w:hAnsi="仿宋" w:eastAsia="仿宋"/>
          <w:spacing w:val="-1"/>
          <w:lang w:eastAsia="zh-CN"/>
        </w:rPr>
        <w:t>)</w:t>
      </w:r>
      <w:r>
        <w:rPr>
          <w:rFonts w:ascii="Times New Roman" w:hAnsi="Times New Roman" w:eastAsia="仿宋"/>
          <w:spacing w:val="-1"/>
          <w:lang w:eastAsia="zh-CN"/>
        </w:rPr>
        <w:t>环氧树脂：液体，无溶剂调制的中等粘度的环氧树脂</w:t>
      </w:r>
    </w:p>
    <w:p w14:paraId="49587CBA">
      <w:pPr>
        <w:spacing w:before="32"/>
        <w:rPr>
          <w:rFonts w:ascii="Times New Roman" w:hAnsi="Times New Roman" w:eastAsia="宋体"/>
          <w:lang w:eastAsia="zh-CN"/>
        </w:rPr>
      </w:pPr>
    </w:p>
    <w:p w14:paraId="62B5C759">
      <w:pPr>
        <w:spacing w:before="31"/>
        <w:rPr>
          <w:rFonts w:ascii="Times New Roman" w:hAnsi="Times New Roman" w:eastAsia="宋体"/>
          <w:lang w:eastAsia="zh-CN"/>
        </w:rPr>
      </w:pPr>
    </w:p>
    <w:tbl>
      <w:tblPr>
        <w:tblStyle w:val="15"/>
        <w:tblW w:w="5822" w:type="dxa"/>
        <w:tblInd w:w="14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2"/>
        <w:gridCol w:w="1319"/>
        <w:gridCol w:w="1716"/>
        <w:gridCol w:w="1585"/>
      </w:tblGrid>
      <w:tr w14:paraId="101AE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02" w:type="dxa"/>
          </w:tcPr>
          <w:p w14:paraId="72AD7F70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性能参数</w:t>
            </w:r>
          </w:p>
        </w:tc>
        <w:tc>
          <w:tcPr>
            <w:tcW w:w="1319" w:type="dxa"/>
          </w:tcPr>
          <w:p w14:paraId="04FEF14A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测试温度</w:t>
            </w:r>
          </w:p>
        </w:tc>
        <w:tc>
          <w:tcPr>
            <w:tcW w:w="1716" w:type="dxa"/>
          </w:tcPr>
          <w:p w14:paraId="437B5243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数据</w:t>
            </w:r>
          </w:p>
        </w:tc>
        <w:tc>
          <w:tcPr>
            <w:tcW w:w="1585" w:type="dxa"/>
          </w:tcPr>
          <w:p w14:paraId="6D0FBEE3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单位</w:t>
            </w:r>
          </w:p>
        </w:tc>
      </w:tr>
      <w:tr w14:paraId="737AA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02" w:type="dxa"/>
          </w:tcPr>
          <w:p w14:paraId="746482AE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粘度</w:t>
            </w:r>
          </w:p>
        </w:tc>
        <w:tc>
          <w:tcPr>
            <w:tcW w:w="1319" w:type="dxa"/>
          </w:tcPr>
          <w:p w14:paraId="4EF64F96">
            <w:pPr>
              <w:pStyle w:val="16"/>
              <w:spacing w:before="117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25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5A58096E">
            <w:pPr>
              <w:pStyle w:val="16"/>
              <w:spacing w:before="161" w:line="187" w:lineRule="auto"/>
              <w:ind w:left="346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2000-3000</w:t>
            </w:r>
          </w:p>
        </w:tc>
        <w:tc>
          <w:tcPr>
            <w:tcW w:w="1585" w:type="dxa"/>
          </w:tcPr>
          <w:p w14:paraId="7E6E95ED">
            <w:pPr>
              <w:pStyle w:val="16"/>
              <w:spacing w:before="117" w:line="326" w:lineRule="exact"/>
              <w:ind w:left="479"/>
              <w:rPr>
                <w:rFonts w:eastAsia="宋体"/>
              </w:rPr>
            </w:pPr>
            <w:r>
              <w:rPr>
                <w:rFonts w:eastAsia="宋体"/>
                <w:spacing w:val="-1"/>
                <w:position w:val="2"/>
              </w:rPr>
              <w:t>mPa</w:t>
            </w:r>
            <w:r>
              <w:rPr>
                <w:rFonts w:eastAsia="宋体" w:cs="宋体"/>
                <w:spacing w:val="-1"/>
                <w:position w:val="2"/>
              </w:rPr>
              <w:t>•</w:t>
            </w:r>
            <w:r>
              <w:rPr>
                <w:rFonts w:eastAsia="宋体"/>
                <w:spacing w:val="-1"/>
                <w:position w:val="2"/>
              </w:rPr>
              <w:t>s</w:t>
            </w:r>
          </w:p>
        </w:tc>
      </w:tr>
      <w:tr w14:paraId="749013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02" w:type="dxa"/>
          </w:tcPr>
          <w:p w14:paraId="43078E03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319" w:type="dxa"/>
          </w:tcPr>
          <w:p w14:paraId="13DFEC5F">
            <w:pPr>
              <w:pStyle w:val="16"/>
              <w:spacing w:before="112" w:line="237" w:lineRule="auto"/>
              <w:ind w:left="440"/>
              <w:rPr>
                <w:rFonts w:eastAsia="宋体" w:cs="宋体"/>
              </w:rPr>
            </w:pPr>
            <w:r>
              <w:rPr>
                <w:rFonts w:eastAsia="宋体"/>
                <w:spacing w:val="-5"/>
              </w:rPr>
              <w:t>80</w:t>
            </w:r>
            <w:r>
              <w:rPr>
                <w:rFonts w:eastAsia="宋体" w:cs="宋体"/>
                <w:spacing w:val="-5"/>
              </w:rPr>
              <w:t>℃</w:t>
            </w:r>
          </w:p>
        </w:tc>
        <w:tc>
          <w:tcPr>
            <w:tcW w:w="1716" w:type="dxa"/>
          </w:tcPr>
          <w:p w14:paraId="107BC5D7">
            <w:pPr>
              <w:pStyle w:val="16"/>
              <w:spacing w:before="156" w:line="187" w:lineRule="auto"/>
              <w:ind w:left="754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70</w:t>
            </w:r>
          </w:p>
        </w:tc>
        <w:tc>
          <w:tcPr>
            <w:tcW w:w="1585" w:type="dxa"/>
          </w:tcPr>
          <w:p w14:paraId="77618DF6">
            <w:pPr>
              <w:pStyle w:val="16"/>
              <w:spacing w:before="112" w:line="326" w:lineRule="exact"/>
              <w:ind w:left="479"/>
              <w:rPr>
                <w:rFonts w:eastAsia="宋体"/>
              </w:rPr>
            </w:pPr>
            <w:r>
              <w:rPr>
                <w:rFonts w:eastAsia="宋体"/>
                <w:spacing w:val="-1"/>
                <w:position w:val="2"/>
              </w:rPr>
              <w:t>mPa</w:t>
            </w:r>
            <w:r>
              <w:rPr>
                <w:rFonts w:eastAsia="宋体" w:cs="宋体"/>
                <w:spacing w:val="-1"/>
                <w:position w:val="2"/>
              </w:rPr>
              <w:t>•</w:t>
            </w:r>
            <w:r>
              <w:rPr>
                <w:rFonts w:eastAsia="宋体"/>
                <w:spacing w:val="-1"/>
                <w:position w:val="2"/>
              </w:rPr>
              <w:t>s</w:t>
            </w:r>
          </w:p>
        </w:tc>
      </w:tr>
      <w:tr w14:paraId="1A5C2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02" w:type="dxa"/>
          </w:tcPr>
          <w:p w14:paraId="565455A5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环氧值</w:t>
            </w:r>
          </w:p>
        </w:tc>
        <w:tc>
          <w:tcPr>
            <w:tcW w:w="1319" w:type="dxa"/>
          </w:tcPr>
          <w:p w14:paraId="7C66815D">
            <w:pPr>
              <w:rPr>
                <w:rFonts w:ascii="Times New Roman" w:hAnsi="Times New Roman" w:eastAsia="宋体"/>
              </w:rPr>
            </w:pPr>
          </w:p>
        </w:tc>
        <w:tc>
          <w:tcPr>
            <w:tcW w:w="1716" w:type="dxa"/>
          </w:tcPr>
          <w:p w14:paraId="037DD89B">
            <w:pPr>
              <w:pStyle w:val="16"/>
              <w:spacing w:before="156" w:line="187" w:lineRule="auto"/>
              <w:ind w:left="529"/>
              <w:rPr>
                <w:rFonts w:eastAsia="宋体"/>
              </w:rPr>
            </w:pPr>
            <w:r>
              <w:rPr>
                <w:rFonts w:eastAsia="宋体"/>
              </w:rPr>
              <w:t>4.9-5.2</w:t>
            </w:r>
          </w:p>
        </w:tc>
        <w:tc>
          <w:tcPr>
            <w:tcW w:w="1585" w:type="dxa"/>
          </w:tcPr>
          <w:p w14:paraId="0DEB63B1">
            <w:pPr>
              <w:pStyle w:val="16"/>
              <w:spacing w:before="152" w:line="191" w:lineRule="auto"/>
              <w:ind w:left="511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Eq/kg</w:t>
            </w:r>
          </w:p>
        </w:tc>
      </w:tr>
      <w:tr w14:paraId="4E44D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202" w:type="dxa"/>
            <w:vMerge w:val="restart"/>
            <w:tcBorders>
              <w:bottom w:val="nil"/>
            </w:tcBorders>
          </w:tcPr>
          <w:p w14:paraId="5C1047C0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  <w:p w14:paraId="779D7AD8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密度</w:t>
            </w:r>
          </w:p>
        </w:tc>
        <w:tc>
          <w:tcPr>
            <w:tcW w:w="1319" w:type="dxa"/>
          </w:tcPr>
          <w:p w14:paraId="6F7EB876">
            <w:pPr>
              <w:pStyle w:val="16"/>
              <w:spacing w:before="121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25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6B777AC7">
            <w:pPr>
              <w:pStyle w:val="16"/>
              <w:spacing w:before="165" w:line="187" w:lineRule="auto"/>
              <w:ind w:left="682"/>
              <w:rPr>
                <w:rFonts w:eastAsia="宋体"/>
              </w:rPr>
            </w:pPr>
            <w:r>
              <w:rPr>
                <w:rFonts w:eastAsia="宋体"/>
                <w:spacing w:val="-6"/>
              </w:rPr>
              <w:t>1.18</w:t>
            </w:r>
          </w:p>
        </w:tc>
        <w:tc>
          <w:tcPr>
            <w:tcW w:w="1585" w:type="dxa"/>
            <w:vMerge w:val="restart"/>
            <w:tcBorders>
              <w:bottom w:val="nil"/>
            </w:tcBorders>
          </w:tcPr>
          <w:p w14:paraId="61AE247E">
            <w:pPr>
              <w:spacing w:line="331" w:lineRule="auto"/>
              <w:rPr>
                <w:rFonts w:ascii="Times New Roman" w:hAnsi="Times New Roman" w:eastAsia="宋体"/>
              </w:rPr>
            </w:pPr>
          </w:p>
          <w:p w14:paraId="70BAEDE1">
            <w:pPr>
              <w:pStyle w:val="16"/>
              <w:spacing w:before="69" w:line="191" w:lineRule="auto"/>
              <w:ind w:left="499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g/cm</w:t>
            </w:r>
            <w:r>
              <w:rPr>
                <w:rFonts w:eastAsia="宋体"/>
                <w:spacing w:val="-2"/>
                <w:vertAlign w:val="superscript"/>
              </w:rPr>
              <w:t>3</w:t>
            </w:r>
          </w:p>
        </w:tc>
      </w:tr>
      <w:tr w14:paraId="3952C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02" w:type="dxa"/>
            <w:vMerge w:val="continue"/>
            <w:tcBorders>
              <w:top w:val="nil"/>
            </w:tcBorders>
          </w:tcPr>
          <w:p w14:paraId="420A941F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319" w:type="dxa"/>
          </w:tcPr>
          <w:p w14:paraId="2AE14354">
            <w:pPr>
              <w:pStyle w:val="16"/>
              <w:spacing w:before="115" w:line="237" w:lineRule="auto"/>
              <w:ind w:left="440"/>
              <w:rPr>
                <w:rFonts w:eastAsia="宋体" w:cs="宋体"/>
              </w:rPr>
            </w:pPr>
            <w:r>
              <w:rPr>
                <w:rFonts w:eastAsia="宋体"/>
                <w:spacing w:val="-5"/>
              </w:rPr>
              <w:t>80</w:t>
            </w:r>
            <w:r>
              <w:rPr>
                <w:rFonts w:eastAsia="宋体" w:cs="宋体"/>
                <w:spacing w:val="-5"/>
              </w:rPr>
              <w:t>℃</w:t>
            </w:r>
          </w:p>
        </w:tc>
        <w:tc>
          <w:tcPr>
            <w:tcW w:w="1716" w:type="dxa"/>
          </w:tcPr>
          <w:p w14:paraId="1EE0ADBB">
            <w:pPr>
              <w:pStyle w:val="16"/>
              <w:spacing w:before="159" w:line="187" w:lineRule="auto"/>
              <w:ind w:left="625"/>
              <w:rPr>
                <w:rFonts w:eastAsia="宋体"/>
              </w:rPr>
            </w:pPr>
            <w:r>
              <w:rPr>
                <w:rFonts w:eastAsia="宋体"/>
                <w:spacing w:val="-5"/>
              </w:rPr>
              <w:t>1.135</w:t>
            </w:r>
          </w:p>
        </w:tc>
        <w:tc>
          <w:tcPr>
            <w:tcW w:w="1585" w:type="dxa"/>
            <w:vMerge w:val="continue"/>
            <w:tcBorders>
              <w:top w:val="nil"/>
            </w:tcBorders>
          </w:tcPr>
          <w:p w14:paraId="2C75ABF6">
            <w:pPr>
              <w:rPr>
                <w:rFonts w:ascii="Times New Roman" w:hAnsi="Times New Roman" w:eastAsia="宋体"/>
              </w:rPr>
            </w:pPr>
          </w:p>
        </w:tc>
      </w:tr>
      <w:tr w14:paraId="39749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202" w:type="dxa"/>
          </w:tcPr>
          <w:p w14:paraId="385E1308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闪点</w:t>
            </w:r>
          </w:p>
        </w:tc>
        <w:tc>
          <w:tcPr>
            <w:tcW w:w="1319" w:type="dxa"/>
          </w:tcPr>
          <w:p w14:paraId="0C0CF4CC">
            <w:pPr>
              <w:rPr>
                <w:rFonts w:ascii="Times New Roman" w:hAnsi="Times New Roman" w:eastAsia="宋体"/>
              </w:rPr>
            </w:pPr>
          </w:p>
        </w:tc>
        <w:tc>
          <w:tcPr>
            <w:tcW w:w="1716" w:type="dxa"/>
          </w:tcPr>
          <w:p w14:paraId="6817F63F">
            <w:pPr>
              <w:pStyle w:val="16"/>
              <w:spacing w:before="166" w:line="187" w:lineRule="auto"/>
              <w:ind w:left="622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&gt;119</w:t>
            </w:r>
          </w:p>
        </w:tc>
        <w:tc>
          <w:tcPr>
            <w:tcW w:w="1585" w:type="dxa"/>
          </w:tcPr>
          <w:p w14:paraId="7A4EBB4E">
            <w:pPr>
              <w:spacing w:before="123" w:line="238" w:lineRule="auto"/>
              <w:ind w:left="703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sz w:val="24"/>
                <w:szCs w:val="24"/>
              </w:rPr>
              <w:t>℃</w:t>
            </w:r>
          </w:p>
        </w:tc>
      </w:tr>
      <w:tr w14:paraId="309677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02" w:type="dxa"/>
          </w:tcPr>
          <w:p w14:paraId="4924EDF2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蒸气压</w:t>
            </w:r>
          </w:p>
        </w:tc>
        <w:tc>
          <w:tcPr>
            <w:tcW w:w="1319" w:type="dxa"/>
          </w:tcPr>
          <w:p w14:paraId="28C94943">
            <w:pPr>
              <w:pStyle w:val="16"/>
              <w:spacing w:before="116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20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4D0C5BD7">
            <w:pPr>
              <w:pStyle w:val="16"/>
              <w:spacing w:before="160" w:line="187" w:lineRule="auto"/>
              <w:ind w:left="529"/>
              <w:rPr>
                <w:rFonts w:eastAsia="宋体"/>
              </w:rPr>
            </w:pPr>
            <w:r>
              <w:rPr>
                <w:rFonts w:eastAsia="宋体"/>
              </w:rPr>
              <w:t>&lt;0.001</w:t>
            </w:r>
          </w:p>
        </w:tc>
        <w:tc>
          <w:tcPr>
            <w:tcW w:w="1585" w:type="dxa"/>
          </w:tcPr>
          <w:p w14:paraId="6E2C3266">
            <w:pPr>
              <w:pStyle w:val="16"/>
              <w:spacing w:before="163" w:line="184" w:lineRule="auto"/>
              <w:ind w:left="680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Pa</w:t>
            </w:r>
          </w:p>
        </w:tc>
      </w:tr>
    </w:tbl>
    <w:p w14:paraId="1771757C">
      <w:pPr>
        <w:spacing w:line="343" w:lineRule="auto"/>
        <w:rPr>
          <w:rFonts w:ascii="Times New Roman" w:hAnsi="Times New Roman" w:eastAsia="宋体"/>
        </w:rPr>
      </w:pPr>
    </w:p>
    <w:p w14:paraId="76B4CF70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b</w:t>
      </w:r>
      <w:r>
        <w:rPr>
          <w:rFonts w:ascii="仿宋" w:hAnsi="仿宋" w:eastAsia="仿宋"/>
          <w:spacing w:val="-1"/>
          <w:lang w:eastAsia="zh-CN"/>
        </w:rPr>
        <w:t xml:space="preserve">) </w:t>
      </w:r>
      <w:r>
        <w:rPr>
          <w:rFonts w:ascii="Times New Roman" w:hAnsi="Times New Roman" w:eastAsia="仿宋"/>
          <w:spacing w:val="-1"/>
          <w:lang w:eastAsia="zh-CN"/>
        </w:rPr>
        <w:t>固化剂  ：液体，改性酸酐固化剂</w:t>
      </w:r>
    </w:p>
    <w:p w14:paraId="11870123">
      <w:pPr>
        <w:spacing w:before="149"/>
        <w:rPr>
          <w:rFonts w:ascii="Times New Roman" w:hAnsi="Times New Roman" w:eastAsia="宋体"/>
          <w:lang w:eastAsia="zh-CN"/>
        </w:rPr>
      </w:pPr>
    </w:p>
    <w:tbl>
      <w:tblPr>
        <w:tblStyle w:val="15"/>
        <w:tblW w:w="5822" w:type="dxa"/>
        <w:tblInd w:w="14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2"/>
        <w:gridCol w:w="1319"/>
        <w:gridCol w:w="1716"/>
        <w:gridCol w:w="1585"/>
      </w:tblGrid>
      <w:tr w14:paraId="275032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2" w:type="dxa"/>
          </w:tcPr>
          <w:p w14:paraId="03436287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性能参数</w:t>
            </w:r>
          </w:p>
        </w:tc>
        <w:tc>
          <w:tcPr>
            <w:tcW w:w="1319" w:type="dxa"/>
          </w:tcPr>
          <w:p w14:paraId="4B277B1B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测试温度</w:t>
            </w:r>
          </w:p>
        </w:tc>
        <w:tc>
          <w:tcPr>
            <w:tcW w:w="1716" w:type="dxa"/>
          </w:tcPr>
          <w:p w14:paraId="44AA9F24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数据</w:t>
            </w:r>
          </w:p>
        </w:tc>
        <w:tc>
          <w:tcPr>
            <w:tcW w:w="1585" w:type="dxa"/>
          </w:tcPr>
          <w:p w14:paraId="60A7FADF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单位</w:t>
            </w:r>
          </w:p>
        </w:tc>
      </w:tr>
      <w:tr w14:paraId="2F429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02" w:type="dxa"/>
          </w:tcPr>
          <w:p w14:paraId="4AA2ABAA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粘度</w:t>
            </w:r>
          </w:p>
        </w:tc>
        <w:tc>
          <w:tcPr>
            <w:tcW w:w="1319" w:type="dxa"/>
          </w:tcPr>
          <w:p w14:paraId="5DA06A21">
            <w:pPr>
              <w:pStyle w:val="16"/>
              <w:spacing w:before="111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25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6E1457DD">
            <w:pPr>
              <w:pStyle w:val="16"/>
              <w:spacing w:before="155" w:line="187" w:lineRule="auto"/>
              <w:ind w:left="471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300-400</w:t>
            </w:r>
          </w:p>
        </w:tc>
        <w:tc>
          <w:tcPr>
            <w:tcW w:w="1585" w:type="dxa"/>
          </w:tcPr>
          <w:p w14:paraId="1D7BBE5C">
            <w:pPr>
              <w:pStyle w:val="16"/>
              <w:spacing w:before="111" w:line="326" w:lineRule="exact"/>
              <w:ind w:left="479"/>
              <w:rPr>
                <w:rFonts w:eastAsia="宋体"/>
              </w:rPr>
            </w:pPr>
            <w:r>
              <w:rPr>
                <w:rFonts w:eastAsia="宋体"/>
                <w:spacing w:val="-1"/>
                <w:position w:val="2"/>
              </w:rPr>
              <w:t>mPa</w:t>
            </w:r>
            <w:r>
              <w:rPr>
                <w:rFonts w:eastAsia="宋体" w:cs="宋体"/>
                <w:spacing w:val="-1"/>
                <w:position w:val="2"/>
              </w:rPr>
              <w:t>•</w:t>
            </w:r>
            <w:r>
              <w:rPr>
                <w:rFonts w:eastAsia="宋体"/>
                <w:spacing w:val="-1"/>
                <w:position w:val="2"/>
              </w:rPr>
              <w:t>s</w:t>
            </w:r>
          </w:p>
        </w:tc>
      </w:tr>
      <w:tr w14:paraId="2C673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02" w:type="dxa"/>
            <w:vMerge w:val="restart"/>
            <w:tcBorders>
              <w:bottom w:val="nil"/>
            </w:tcBorders>
          </w:tcPr>
          <w:p w14:paraId="290E5BEA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  <w:p w14:paraId="26E8E039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密度</w:t>
            </w:r>
          </w:p>
        </w:tc>
        <w:tc>
          <w:tcPr>
            <w:tcW w:w="1319" w:type="dxa"/>
          </w:tcPr>
          <w:p w14:paraId="4EEEB7BC">
            <w:pPr>
              <w:pStyle w:val="16"/>
              <w:spacing w:before="119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25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370B76A6">
            <w:pPr>
              <w:pStyle w:val="16"/>
              <w:spacing w:before="163" w:line="187" w:lineRule="auto"/>
              <w:ind w:left="433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1.19-1.22</w:t>
            </w:r>
          </w:p>
        </w:tc>
        <w:tc>
          <w:tcPr>
            <w:tcW w:w="1585" w:type="dxa"/>
            <w:vMerge w:val="restart"/>
            <w:tcBorders>
              <w:bottom w:val="nil"/>
            </w:tcBorders>
          </w:tcPr>
          <w:p w14:paraId="4DD37F7E">
            <w:pPr>
              <w:spacing w:line="322" w:lineRule="auto"/>
              <w:rPr>
                <w:rFonts w:ascii="Times New Roman" w:hAnsi="Times New Roman" w:eastAsia="宋体"/>
              </w:rPr>
            </w:pPr>
          </w:p>
          <w:p w14:paraId="45CEDFA9">
            <w:pPr>
              <w:pStyle w:val="16"/>
              <w:spacing w:before="69" w:line="191" w:lineRule="auto"/>
              <w:ind w:left="499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g/cm</w:t>
            </w:r>
            <w:r>
              <w:rPr>
                <w:rFonts w:eastAsia="宋体"/>
                <w:spacing w:val="-2"/>
                <w:vertAlign w:val="superscript"/>
              </w:rPr>
              <w:t>3</w:t>
            </w:r>
          </w:p>
        </w:tc>
      </w:tr>
      <w:tr w14:paraId="1099D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02" w:type="dxa"/>
            <w:vMerge w:val="continue"/>
            <w:tcBorders>
              <w:top w:val="nil"/>
            </w:tcBorders>
          </w:tcPr>
          <w:p w14:paraId="0F98099E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6B59F81">
            <w:pPr>
              <w:pStyle w:val="16"/>
              <w:spacing w:before="119" w:line="237" w:lineRule="auto"/>
              <w:ind w:left="435"/>
              <w:rPr>
                <w:rFonts w:eastAsia="宋体" w:cs="宋体"/>
              </w:rPr>
            </w:pPr>
            <w:r>
              <w:rPr>
                <w:rFonts w:eastAsia="宋体"/>
                <w:spacing w:val="-3"/>
              </w:rPr>
              <w:t>60</w:t>
            </w:r>
            <w:r>
              <w:rPr>
                <w:rFonts w:eastAsia="宋体" w:cs="宋体"/>
                <w:spacing w:val="-3"/>
              </w:rPr>
              <w:t>℃</w:t>
            </w:r>
          </w:p>
        </w:tc>
        <w:tc>
          <w:tcPr>
            <w:tcW w:w="1716" w:type="dxa"/>
          </w:tcPr>
          <w:p w14:paraId="10B4FF0B">
            <w:pPr>
              <w:pStyle w:val="16"/>
              <w:spacing w:before="163" w:line="187" w:lineRule="auto"/>
              <w:ind w:left="433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1.16-1.20</w:t>
            </w:r>
          </w:p>
        </w:tc>
        <w:tc>
          <w:tcPr>
            <w:tcW w:w="1585" w:type="dxa"/>
            <w:vMerge w:val="continue"/>
            <w:tcBorders>
              <w:top w:val="nil"/>
            </w:tcBorders>
          </w:tcPr>
          <w:p w14:paraId="0AA9010C">
            <w:pPr>
              <w:rPr>
                <w:rFonts w:ascii="Times New Roman" w:hAnsi="Times New Roman" w:eastAsia="宋体"/>
              </w:rPr>
            </w:pPr>
          </w:p>
        </w:tc>
      </w:tr>
      <w:tr w14:paraId="5C8B3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02" w:type="dxa"/>
          </w:tcPr>
          <w:p w14:paraId="78F65834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闪点</w:t>
            </w:r>
          </w:p>
        </w:tc>
        <w:tc>
          <w:tcPr>
            <w:tcW w:w="1319" w:type="dxa"/>
          </w:tcPr>
          <w:p w14:paraId="1DA2CE56">
            <w:pPr>
              <w:rPr>
                <w:rFonts w:ascii="Times New Roman" w:hAnsi="Times New Roman" w:eastAsia="宋体"/>
              </w:rPr>
            </w:pPr>
          </w:p>
        </w:tc>
        <w:tc>
          <w:tcPr>
            <w:tcW w:w="1716" w:type="dxa"/>
          </w:tcPr>
          <w:p w14:paraId="09D26E12">
            <w:pPr>
              <w:pStyle w:val="16"/>
              <w:spacing w:before="158" w:line="187" w:lineRule="auto"/>
              <w:ind w:left="717"/>
              <w:rPr>
                <w:rFonts w:eastAsia="宋体"/>
              </w:rPr>
            </w:pPr>
            <w:r>
              <w:rPr>
                <w:rFonts w:eastAsia="宋体"/>
                <w:spacing w:val="-11"/>
              </w:rPr>
              <w:t>115</w:t>
            </w:r>
          </w:p>
        </w:tc>
        <w:tc>
          <w:tcPr>
            <w:tcW w:w="1585" w:type="dxa"/>
          </w:tcPr>
          <w:p w14:paraId="68D55E30">
            <w:pPr>
              <w:spacing w:before="115" w:line="238" w:lineRule="auto"/>
              <w:ind w:left="703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sz w:val="24"/>
                <w:szCs w:val="24"/>
              </w:rPr>
              <w:t>℃</w:t>
            </w:r>
          </w:p>
        </w:tc>
      </w:tr>
      <w:tr w14:paraId="719C8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202" w:type="dxa"/>
            <w:vMerge w:val="restart"/>
            <w:tcBorders>
              <w:bottom w:val="nil"/>
            </w:tcBorders>
          </w:tcPr>
          <w:p w14:paraId="633EBED8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</w:p>
          <w:p w14:paraId="792C3D8E">
            <w:pPr>
              <w:spacing w:before="115" w:line="220" w:lineRule="auto"/>
              <w:jc w:val="center"/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蒸气压</w:t>
            </w:r>
          </w:p>
        </w:tc>
        <w:tc>
          <w:tcPr>
            <w:tcW w:w="1319" w:type="dxa"/>
          </w:tcPr>
          <w:p w14:paraId="31426FAA">
            <w:pPr>
              <w:pStyle w:val="16"/>
              <w:spacing w:before="121" w:line="237" w:lineRule="auto"/>
              <w:ind w:left="430"/>
              <w:rPr>
                <w:rFonts w:eastAsia="宋体" w:cs="宋体"/>
              </w:rPr>
            </w:pPr>
            <w:r>
              <w:rPr>
                <w:rFonts w:eastAsia="宋体"/>
                <w:spacing w:val="-1"/>
              </w:rPr>
              <w:t>25</w:t>
            </w:r>
            <w:r>
              <w:rPr>
                <w:rFonts w:eastAsia="宋体" w:cs="宋体"/>
                <w:spacing w:val="-1"/>
              </w:rPr>
              <w:t>℃</w:t>
            </w:r>
          </w:p>
        </w:tc>
        <w:tc>
          <w:tcPr>
            <w:tcW w:w="1716" w:type="dxa"/>
          </w:tcPr>
          <w:p w14:paraId="5CC2A8FE">
            <w:pPr>
              <w:pStyle w:val="16"/>
              <w:spacing w:before="165" w:line="187" w:lineRule="auto"/>
              <w:ind w:left="783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0.5</w:t>
            </w:r>
          </w:p>
        </w:tc>
        <w:tc>
          <w:tcPr>
            <w:tcW w:w="1585" w:type="dxa"/>
          </w:tcPr>
          <w:p w14:paraId="32DA091E">
            <w:pPr>
              <w:pStyle w:val="16"/>
              <w:spacing w:before="168" w:line="184" w:lineRule="auto"/>
              <w:ind w:left="680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Pa</w:t>
            </w:r>
          </w:p>
        </w:tc>
      </w:tr>
      <w:tr w14:paraId="36CC6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02" w:type="dxa"/>
            <w:vMerge w:val="continue"/>
            <w:tcBorders>
              <w:top w:val="nil"/>
            </w:tcBorders>
          </w:tcPr>
          <w:p w14:paraId="1DC70B14">
            <w:pPr>
              <w:rPr>
                <w:rFonts w:ascii="Times New Roman" w:hAnsi="Times New Roman" w:eastAsia="宋体"/>
              </w:rPr>
            </w:pPr>
          </w:p>
        </w:tc>
        <w:tc>
          <w:tcPr>
            <w:tcW w:w="1319" w:type="dxa"/>
          </w:tcPr>
          <w:p w14:paraId="7800CC6A">
            <w:pPr>
              <w:pStyle w:val="16"/>
              <w:spacing w:before="115" w:line="237" w:lineRule="auto"/>
              <w:ind w:left="435"/>
              <w:rPr>
                <w:rFonts w:eastAsia="宋体" w:cs="宋体"/>
              </w:rPr>
            </w:pPr>
            <w:r>
              <w:rPr>
                <w:rFonts w:eastAsia="宋体"/>
                <w:spacing w:val="-3"/>
              </w:rPr>
              <w:t>60</w:t>
            </w:r>
            <w:r>
              <w:rPr>
                <w:rFonts w:eastAsia="宋体" w:cs="宋体"/>
                <w:spacing w:val="-3"/>
              </w:rPr>
              <w:t>℃</w:t>
            </w:r>
          </w:p>
        </w:tc>
        <w:tc>
          <w:tcPr>
            <w:tcW w:w="1716" w:type="dxa"/>
          </w:tcPr>
          <w:p w14:paraId="51AEE9A8">
            <w:pPr>
              <w:pStyle w:val="16"/>
              <w:spacing w:before="159" w:line="187" w:lineRule="auto"/>
              <w:ind w:left="831"/>
              <w:rPr>
                <w:rFonts w:eastAsia="宋体"/>
              </w:rPr>
            </w:pPr>
            <w:r>
              <w:rPr>
                <w:rFonts w:eastAsia="宋体"/>
                <w:spacing w:val="-7"/>
              </w:rPr>
              <w:t>10</w:t>
            </w:r>
          </w:p>
        </w:tc>
        <w:tc>
          <w:tcPr>
            <w:tcW w:w="1585" w:type="dxa"/>
          </w:tcPr>
          <w:p w14:paraId="3E46A248">
            <w:pPr>
              <w:pStyle w:val="16"/>
              <w:spacing w:before="162" w:line="184" w:lineRule="auto"/>
              <w:ind w:left="680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Pa</w:t>
            </w:r>
          </w:p>
        </w:tc>
      </w:tr>
    </w:tbl>
    <w:p w14:paraId="5B612FF5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</w:rPr>
      </w:pPr>
    </w:p>
    <w:p w14:paraId="3A79B501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c）颜料：红色色浆,高粘度液体</w:t>
      </w:r>
    </w:p>
    <w:p w14:paraId="6A21A986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d） 硅微粉：电工级硅微粉，</w:t>
      </w:r>
      <w:r>
        <w:rPr>
          <w:rFonts w:hint="eastAsia" w:ascii="Times New Roman" w:hAnsi="Times New Roman" w:eastAsia="仿宋"/>
          <w:spacing w:val="-1"/>
          <w:lang w:eastAsia="zh-CN"/>
        </w:rPr>
        <w:t>8</w:t>
      </w:r>
      <w:r>
        <w:rPr>
          <w:rFonts w:ascii="Times New Roman" w:hAnsi="Times New Roman" w:eastAsia="仿宋"/>
          <w:spacing w:val="-1"/>
          <w:lang w:eastAsia="zh-CN"/>
        </w:rPr>
        <w:t>00 目</w:t>
      </w:r>
    </w:p>
    <w:p w14:paraId="2871626E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3.2  上述四种成分材料的配比（质量比），供采购参考：</w:t>
      </w:r>
    </w:p>
    <w:p w14:paraId="20D9ED41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总配比：         环氧树脂   ：颜料 ：固化剂  ：硅微粉</w:t>
      </w:r>
    </w:p>
    <w:p w14:paraId="636FA18A">
      <w:pPr>
        <w:pStyle w:val="4"/>
        <w:spacing w:line="360" w:lineRule="auto"/>
        <w:ind w:firstLine="2618" w:firstLineChars="1100"/>
        <w:jc w:val="both"/>
        <w:rPr>
          <w:rFonts w:hint="eastAsia"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100     </w:t>
      </w:r>
      <w:r>
        <w:rPr>
          <w:rFonts w:hint="eastAsia" w:ascii="Times New Roman" w:hAnsi="Times New Roman" w:eastAsia="仿宋"/>
          <w:spacing w:val="-1"/>
          <w:lang w:eastAsia="zh-CN"/>
        </w:rPr>
        <w:t xml:space="preserve"> </w:t>
      </w:r>
      <w:r>
        <w:rPr>
          <w:rFonts w:ascii="Times New Roman" w:hAnsi="Times New Roman" w:eastAsia="仿宋"/>
          <w:spacing w:val="-1"/>
          <w:lang w:eastAsia="zh-CN"/>
        </w:rPr>
        <w:t xml:space="preserve">   ：  2     ：  </w:t>
      </w:r>
      <w:r>
        <w:rPr>
          <w:rFonts w:hint="eastAsia" w:ascii="Times New Roman" w:hAnsi="Times New Roman" w:eastAsia="仿宋"/>
          <w:spacing w:val="-1"/>
          <w:lang w:eastAsia="zh-CN"/>
        </w:rPr>
        <w:t xml:space="preserve">    </w:t>
      </w:r>
      <w:r>
        <w:rPr>
          <w:rFonts w:ascii="Times New Roman" w:hAnsi="Times New Roman" w:eastAsia="仿宋"/>
          <w:spacing w:val="-1"/>
          <w:lang w:eastAsia="zh-CN"/>
        </w:rPr>
        <w:t xml:space="preserve"> 80       </w:t>
      </w:r>
      <w:r>
        <w:rPr>
          <w:rFonts w:hint="eastAsia" w:ascii="Times New Roman" w:hAnsi="Times New Roman" w:eastAsia="仿宋"/>
          <w:spacing w:val="-1"/>
          <w:lang w:eastAsia="zh-CN"/>
        </w:rPr>
        <w:t xml:space="preserve"> </w:t>
      </w:r>
      <w:r>
        <w:rPr>
          <w:rFonts w:ascii="Times New Roman" w:hAnsi="Times New Roman" w:eastAsia="仿宋"/>
          <w:spacing w:val="-1"/>
          <w:lang w:eastAsia="zh-CN"/>
        </w:rPr>
        <w:t xml:space="preserve">  ： </w:t>
      </w:r>
      <w:r>
        <w:rPr>
          <w:rFonts w:hint="eastAsia" w:ascii="Times New Roman" w:hAnsi="Times New Roman" w:eastAsia="仿宋"/>
          <w:spacing w:val="-1"/>
          <w:lang w:eastAsia="zh-CN"/>
        </w:rPr>
        <w:t>180</w:t>
      </w:r>
    </w:p>
    <w:p w14:paraId="4C951D8C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分配比：   环氧树脂 CY ：颜料 ：硅微粉           固化剂 HY ：硅微粉</w:t>
      </w:r>
    </w:p>
    <w:p w14:paraId="0F9B6BB7">
      <w:pPr>
        <w:pStyle w:val="4"/>
        <w:spacing w:line="360" w:lineRule="auto"/>
        <w:ind w:firstLine="2142" w:firstLineChars="900"/>
        <w:jc w:val="both"/>
        <w:rPr>
          <w:rFonts w:hint="eastAsia"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</w:rPr>
        <w:t xml:space="preserve">100         ： 2       ：   </w:t>
      </w:r>
      <w:r>
        <w:rPr>
          <w:rFonts w:hint="eastAsia" w:ascii="Times New Roman" w:hAnsi="Times New Roman" w:eastAsia="仿宋"/>
          <w:spacing w:val="-1"/>
          <w:lang w:eastAsia="zh-CN"/>
        </w:rPr>
        <w:t>80</w:t>
      </w:r>
      <w:r>
        <w:rPr>
          <w:rFonts w:ascii="Times New Roman" w:hAnsi="Times New Roman" w:eastAsia="仿宋"/>
          <w:spacing w:val="-1"/>
        </w:rPr>
        <w:t xml:space="preserve">                     80       ：  1</w:t>
      </w:r>
      <w:r>
        <w:rPr>
          <w:rFonts w:hint="eastAsia" w:ascii="Times New Roman" w:hAnsi="Times New Roman" w:eastAsia="仿宋"/>
          <w:spacing w:val="-1"/>
          <w:lang w:eastAsia="zh-CN"/>
        </w:rPr>
        <w:t>00</w:t>
      </w:r>
    </w:p>
    <w:p w14:paraId="587FF584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</w:rPr>
      </w:pPr>
      <w:r>
        <w:rPr>
          <w:rFonts w:ascii="Times New Roman" w:hAnsi="Times New Roman" w:eastAsia="仿宋"/>
          <w:spacing w:val="-1"/>
        </w:rPr>
        <w:t>3.3    固化条件：80℃/</w:t>
      </w:r>
      <w:r>
        <w:rPr>
          <w:rFonts w:hint="eastAsia" w:ascii="Times New Roman" w:hAnsi="Times New Roman" w:eastAsia="仿宋"/>
          <w:spacing w:val="-1"/>
          <w:lang w:eastAsia="zh-CN"/>
        </w:rPr>
        <w:t>6</w:t>
      </w:r>
      <w:r>
        <w:rPr>
          <w:rFonts w:ascii="Times New Roman" w:hAnsi="Times New Roman" w:eastAsia="仿宋"/>
          <w:spacing w:val="-1"/>
        </w:rPr>
        <w:t>h+</w:t>
      </w:r>
      <w:r>
        <w:rPr>
          <w:rFonts w:hint="eastAsia" w:ascii="Times New Roman" w:hAnsi="Times New Roman" w:eastAsia="仿宋"/>
          <w:spacing w:val="-1"/>
          <w:lang w:eastAsia="zh-CN"/>
        </w:rPr>
        <w:t>100</w:t>
      </w:r>
      <w:r>
        <w:rPr>
          <w:rFonts w:ascii="Times New Roman" w:hAnsi="Times New Roman" w:eastAsia="仿宋"/>
          <w:spacing w:val="-1"/>
        </w:rPr>
        <w:t>℃/</w:t>
      </w:r>
      <w:r>
        <w:rPr>
          <w:rFonts w:hint="eastAsia" w:ascii="Times New Roman" w:hAnsi="Times New Roman" w:eastAsia="仿宋"/>
          <w:spacing w:val="-1"/>
          <w:lang w:eastAsia="zh-CN"/>
        </w:rPr>
        <w:t>4</w:t>
      </w:r>
      <w:r>
        <w:rPr>
          <w:rFonts w:ascii="Times New Roman" w:hAnsi="Times New Roman" w:eastAsia="仿宋"/>
          <w:spacing w:val="-1"/>
        </w:rPr>
        <w:t xml:space="preserve">h </w:t>
      </w:r>
      <w:r>
        <w:rPr>
          <w:rFonts w:hint="eastAsia" w:ascii="Times New Roman" w:hAnsi="Times New Roman" w:eastAsia="仿宋"/>
          <w:spacing w:val="-1"/>
          <w:lang w:eastAsia="zh-CN"/>
        </w:rPr>
        <w:t>+</w:t>
      </w:r>
      <w:r>
        <w:rPr>
          <w:rFonts w:ascii="Times New Roman" w:hAnsi="Times New Roman" w:eastAsia="仿宋"/>
          <w:spacing w:val="-1"/>
        </w:rPr>
        <w:t>1</w:t>
      </w:r>
      <w:r>
        <w:rPr>
          <w:rFonts w:hint="eastAsia" w:ascii="Times New Roman" w:hAnsi="Times New Roman" w:eastAsia="仿宋"/>
          <w:spacing w:val="-1"/>
          <w:lang w:eastAsia="zh-CN"/>
        </w:rPr>
        <w:t>3</w:t>
      </w:r>
      <w:r>
        <w:rPr>
          <w:rFonts w:ascii="Times New Roman" w:hAnsi="Times New Roman" w:eastAsia="仿宋"/>
          <w:spacing w:val="-1"/>
        </w:rPr>
        <w:t>0℃/</w:t>
      </w:r>
      <w:r>
        <w:rPr>
          <w:rFonts w:hint="eastAsia" w:ascii="Times New Roman" w:hAnsi="Times New Roman" w:eastAsia="仿宋"/>
          <w:spacing w:val="-1"/>
          <w:lang w:eastAsia="zh-CN"/>
        </w:rPr>
        <w:t>8</w:t>
      </w:r>
      <w:r>
        <w:rPr>
          <w:rFonts w:ascii="Times New Roman" w:hAnsi="Times New Roman" w:eastAsia="仿宋"/>
          <w:spacing w:val="-1"/>
        </w:rPr>
        <w:t>h</w:t>
      </w:r>
    </w:p>
    <w:p w14:paraId="3FFA9EF9">
      <w:pPr>
        <w:spacing w:line="234" w:lineRule="auto"/>
        <w:rPr>
          <w:rFonts w:ascii="Times New Roman" w:hAnsi="Times New Roman" w:eastAsia="宋体" w:cs="Times New Roman"/>
        </w:rPr>
        <w:sectPr>
          <w:pgSz w:w="11903" w:h="16841"/>
          <w:pgMar w:top="1418" w:right="1134" w:bottom="1134" w:left="1418" w:header="0" w:footer="0" w:gutter="0"/>
          <w:cols w:space="0" w:num="1"/>
        </w:sectPr>
      </w:pPr>
    </w:p>
    <w:p w14:paraId="0CB17E04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</w:rPr>
      </w:pPr>
      <w:r>
        <w:rPr>
          <w:rFonts w:ascii="Times New Roman" w:hAnsi="Times New Roman" w:eastAsia="仿宋"/>
          <w:spacing w:val="-1"/>
        </w:rPr>
        <w:t>3.4    固化性能：</w:t>
      </w:r>
    </w:p>
    <w:p w14:paraId="103C24D7">
      <w:pPr>
        <w:spacing w:before="27"/>
        <w:rPr>
          <w:rFonts w:ascii="Times New Roman" w:hAnsi="Times New Roman" w:eastAsia="宋体"/>
        </w:rPr>
      </w:pPr>
    </w:p>
    <w:p w14:paraId="6E5E0739">
      <w:pPr>
        <w:spacing w:before="26"/>
        <w:rPr>
          <w:rFonts w:ascii="Times New Roman" w:hAnsi="Times New Roman" w:eastAsia="宋体"/>
        </w:rPr>
      </w:pPr>
    </w:p>
    <w:tbl>
      <w:tblPr>
        <w:tblStyle w:val="15"/>
        <w:tblW w:w="5878" w:type="dxa"/>
        <w:tblInd w:w="14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  <w:gridCol w:w="2021"/>
        <w:gridCol w:w="1542"/>
      </w:tblGrid>
      <w:tr w14:paraId="661CB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2315" w:type="dxa"/>
          </w:tcPr>
          <w:p w14:paraId="2847FB9C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试 验 项 目</w:t>
            </w:r>
          </w:p>
        </w:tc>
        <w:tc>
          <w:tcPr>
            <w:tcW w:w="2021" w:type="dxa"/>
          </w:tcPr>
          <w:p w14:paraId="6C8C6AB5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数  据</w:t>
            </w:r>
          </w:p>
        </w:tc>
        <w:tc>
          <w:tcPr>
            <w:tcW w:w="1542" w:type="dxa"/>
          </w:tcPr>
          <w:p w14:paraId="61E69631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单   位</w:t>
            </w:r>
          </w:p>
        </w:tc>
      </w:tr>
      <w:tr w14:paraId="4EE35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2315" w:type="dxa"/>
          </w:tcPr>
          <w:p w14:paraId="771D6624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拉伸强度</w:t>
            </w:r>
          </w:p>
        </w:tc>
        <w:tc>
          <w:tcPr>
            <w:tcW w:w="2021" w:type="dxa"/>
          </w:tcPr>
          <w:p w14:paraId="3DE47155">
            <w:pPr>
              <w:pStyle w:val="16"/>
              <w:spacing w:before="162" w:line="187" w:lineRule="auto"/>
              <w:ind w:left="739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80-90</w:t>
            </w:r>
          </w:p>
        </w:tc>
        <w:tc>
          <w:tcPr>
            <w:tcW w:w="1542" w:type="dxa"/>
          </w:tcPr>
          <w:p w14:paraId="7FDCA643">
            <w:pPr>
              <w:pStyle w:val="16"/>
              <w:spacing w:before="102" w:line="209" w:lineRule="auto"/>
              <w:ind w:left="4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position w:val="-1"/>
              </w:rPr>
              <w:t>N/mm</w:t>
            </w:r>
            <w:r>
              <w:rPr>
                <w:rFonts w:eastAsia="宋体"/>
                <w:position w:val="10"/>
                <w:sz w:val="16"/>
                <w:szCs w:val="16"/>
              </w:rPr>
              <w:t>2</w:t>
            </w:r>
          </w:p>
        </w:tc>
      </w:tr>
      <w:tr w14:paraId="617FA0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029200A1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断裂伸长率</w:t>
            </w:r>
          </w:p>
        </w:tc>
        <w:tc>
          <w:tcPr>
            <w:tcW w:w="2021" w:type="dxa"/>
          </w:tcPr>
          <w:p w14:paraId="362ED517">
            <w:pPr>
              <w:pStyle w:val="16"/>
              <w:spacing w:before="155" w:line="187" w:lineRule="auto"/>
              <w:ind w:left="632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1.0-2.01</w:t>
            </w:r>
          </w:p>
        </w:tc>
        <w:tc>
          <w:tcPr>
            <w:tcW w:w="1542" w:type="dxa"/>
          </w:tcPr>
          <w:p w14:paraId="3DB19A77">
            <w:pPr>
              <w:pStyle w:val="16"/>
              <w:spacing w:before="151" w:line="230" w:lineRule="auto"/>
              <w:ind w:left="678"/>
              <w:rPr>
                <w:rFonts w:eastAsia="宋体"/>
              </w:rPr>
            </w:pPr>
            <w:r>
              <w:rPr>
                <w:rFonts w:eastAsia="宋体"/>
              </w:rPr>
              <w:t>%</w:t>
            </w:r>
          </w:p>
        </w:tc>
      </w:tr>
      <w:tr w14:paraId="1F0DD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2315" w:type="dxa"/>
          </w:tcPr>
          <w:p w14:paraId="783082C2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拉伸模量</w:t>
            </w:r>
          </w:p>
        </w:tc>
        <w:tc>
          <w:tcPr>
            <w:tcW w:w="2021" w:type="dxa"/>
          </w:tcPr>
          <w:p w14:paraId="78155751">
            <w:pPr>
              <w:pStyle w:val="16"/>
              <w:spacing w:before="163" w:line="187" w:lineRule="auto"/>
              <w:ind w:left="398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10000-12000</w:t>
            </w:r>
          </w:p>
        </w:tc>
        <w:tc>
          <w:tcPr>
            <w:tcW w:w="1542" w:type="dxa"/>
          </w:tcPr>
          <w:p w14:paraId="65C3AE97">
            <w:pPr>
              <w:pStyle w:val="16"/>
              <w:spacing w:before="102" w:line="209" w:lineRule="auto"/>
              <w:ind w:left="4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position w:val="-1"/>
              </w:rPr>
              <w:t>N/mm</w:t>
            </w:r>
            <w:r>
              <w:rPr>
                <w:rFonts w:eastAsia="宋体"/>
                <w:position w:val="10"/>
                <w:sz w:val="16"/>
                <w:szCs w:val="16"/>
              </w:rPr>
              <w:t>2</w:t>
            </w:r>
          </w:p>
        </w:tc>
      </w:tr>
      <w:tr w14:paraId="47277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7087718D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弯曲强度</w:t>
            </w:r>
          </w:p>
        </w:tc>
        <w:tc>
          <w:tcPr>
            <w:tcW w:w="2021" w:type="dxa"/>
          </w:tcPr>
          <w:p w14:paraId="171C1B3F">
            <w:pPr>
              <w:pStyle w:val="16"/>
              <w:spacing w:before="162" w:line="187" w:lineRule="auto"/>
              <w:ind w:left="632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130-140</w:t>
            </w:r>
          </w:p>
        </w:tc>
        <w:tc>
          <w:tcPr>
            <w:tcW w:w="1542" w:type="dxa"/>
          </w:tcPr>
          <w:p w14:paraId="2C4DFE74">
            <w:pPr>
              <w:pStyle w:val="16"/>
              <w:spacing w:before="101" w:line="209" w:lineRule="auto"/>
              <w:ind w:left="4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position w:val="-1"/>
              </w:rPr>
              <w:t>N/mm</w:t>
            </w:r>
            <w:r>
              <w:rPr>
                <w:rFonts w:eastAsia="宋体"/>
                <w:position w:val="10"/>
                <w:sz w:val="16"/>
                <w:szCs w:val="16"/>
              </w:rPr>
              <w:t>2</w:t>
            </w:r>
          </w:p>
        </w:tc>
      </w:tr>
      <w:tr w14:paraId="01933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4FCC81B6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表面应变</w:t>
            </w:r>
          </w:p>
        </w:tc>
        <w:tc>
          <w:tcPr>
            <w:tcW w:w="2021" w:type="dxa"/>
          </w:tcPr>
          <w:p w14:paraId="7399026C">
            <w:pPr>
              <w:pStyle w:val="16"/>
              <w:spacing w:before="155" w:line="187" w:lineRule="auto"/>
              <w:ind w:left="696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1.3-1.5</w:t>
            </w:r>
          </w:p>
        </w:tc>
        <w:tc>
          <w:tcPr>
            <w:tcW w:w="1542" w:type="dxa"/>
          </w:tcPr>
          <w:p w14:paraId="4FFEEB3C">
            <w:pPr>
              <w:pStyle w:val="16"/>
              <w:spacing w:before="151" w:line="230" w:lineRule="auto"/>
              <w:ind w:left="678"/>
              <w:rPr>
                <w:rFonts w:eastAsia="宋体"/>
              </w:rPr>
            </w:pPr>
            <w:r>
              <w:rPr>
                <w:rFonts w:eastAsia="宋体"/>
              </w:rPr>
              <w:t>%</w:t>
            </w:r>
          </w:p>
        </w:tc>
      </w:tr>
      <w:tr w14:paraId="0BD8A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087E5310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弯曲模量</w:t>
            </w:r>
          </w:p>
        </w:tc>
        <w:tc>
          <w:tcPr>
            <w:tcW w:w="2021" w:type="dxa"/>
          </w:tcPr>
          <w:p w14:paraId="7145398B">
            <w:pPr>
              <w:pStyle w:val="16"/>
              <w:spacing w:before="163" w:line="187" w:lineRule="auto"/>
              <w:ind w:left="398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10000-12000</w:t>
            </w:r>
          </w:p>
        </w:tc>
        <w:tc>
          <w:tcPr>
            <w:tcW w:w="1542" w:type="dxa"/>
          </w:tcPr>
          <w:p w14:paraId="07BD7FB3">
            <w:pPr>
              <w:pStyle w:val="16"/>
              <w:spacing w:before="102" w:line="209" w:lineRule="auto"/>
              <w:ind w:left="4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position w:val="-1"/>
              </w:rPr>
              <w:t>N/mm</w:t>
            </w:r>
            <w:r>
              <w:rPr>
                <w:rFonts w:eastAsia="宋体"/>
                <w:position w:val="10"/>
                <w:sz w:val="16"/>
                <w:szCs w:val="16"/>
              </w:rPr>
              <w:t>2</w:t>
            </w:r>
          </w:p>
        </w:tc>
      </w:tr>
      <w:tr w14:paraId="059A6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122508F4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压缩强度</w:t>
            </w:r>
          </w:p>
        </w:tc>
        <w:tc>
          <w:tcPr>
            <w:tcW w:w="2021" w:type="dxa"/>
          </w:tcPr>
          <w:p w14:paraId="31D525F9">
            <w:pPr>
              <w:pStyle w:val="16"/>
              <w:spacing w:before="156" w:line="187" w:lineRule="auto"/>
              <w:ind w:left="632"/>
              <w:rPr>
                <w:rFonts w:eastAsia="宋体"/>
              </w:rPr>
            </w:pPr>
            <w:r>
              <w:rPr>
                <w:rFonts w:eastAsia="宋体"/>
                <w:spacing w:val="-4"/>
              </w:rPr>
              <w:t>185-195</w:t>
            </w:r>
          </w:p>
        </w:tc>
        <w:tc>
          <w:tcPr>
            <w:tcW w:w="1542" w:type="dxa"/>
          </w:tcPr>
          <w:p w14:paraId="591E972C">
            <w:pPr>
              <w:pStyle w:val="16"/>
              <w:spacing w:before="96" w:line="209" w:lineRule="auto"/>
              <w:ind w:left="4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position w:val="-1"/>
              </w:rPr>
              <w:t>N/mm</w:t>
            </w:r>
            <w:r>
              <w:rPr>
                <w:rFonts w:eastAsia="宋体"/>
                <w:position w:val="10"/>
                <w:sz w:val="16"/>
                <w:szCs w:val="16"/>
              </w:rPr>
              <w:t>2</w:t>
            </w:r>
          </w:p>
        </w:tc>
      </w:tr>
      <w:tr w14:paraId="246D2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1016D790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临界应力密度因数</w:t>
            </w:r>
          </w:p>
        </w:tc>
        <w:tc>
          <w:tcPr>
            <w:tcW w:w="2021" w:type="dxa"/>
          </w:tcPr>
          <w:p w14:paraId="575868EE">
            <w:pPr>
              <w:pStyle w:val="16"/>
              <w:spacing w:before="157" w:line="187" w:lineRule="auto"/>
              <w:ind w:left="672"/>
              <w:rPr>
                <w:rFonts w:eastAsia="宋体"/>
              </w:rPr>
            </w:pPr>
            <w:r>
              <w:rPr>
                <w:rFonts w:eastAsia="宋体"/>
              </w:rPr>
              <w:t>2.7-2.9</w:t>
            </w:r>
          </w:p>
        </w:tc>
        <w:tc>
          <w:tcPr>
            <w:tcW w:w="1542" w:type="dxa"/>
          </w:tcPr>
          <w:p w14:paraId="75BE6672">
            <w:pPr>
              <w:pStyle w:val="16"/>
              <w:spacing w:before="93" w:line="328" w:lineRule="exact"/>
              <w:ind w:left="318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pacing w:val="-1"/>
                <w:position w:val="-1"/>
              </w:rPr>
              <w:t>MPa.m</w:t>
            </w:r>
            <w:r>
              <w:rPr>
                <w:rFonts w:eastAsia="宋体"/>
                <w:spacing w:val="-1"/>
                <w:position w:val="9"/>
                <w:sz w:val="16"/>
                <w:szCs w:val="16"/>
              </w:rPr>
              <w:t>1/2</w:t>
            </w:r>
          </w:p>
        </w:tc>
      </w:tr>
      <w:tr w14:paraId="3E9CA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0B04AA40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断裂比能</w:t>
            </w:r>
          </w:p>
        </w:tc>
        <w:tc>
          <w:tcPr>
            <w:tcW w:w="2021" w:type="dxa"/>
          </w:tcPr>
          <w:p w14:paraId="4D0417BD">
            <w:pPr>
              <w:pStyle w:val="16"/>
              <w:spacing w:before="164" w:line="187" w:lineRule="auto"/>
              <w:ind w:left="615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550-650</w:t>
            </w:r>
          </w:p>
        </w:tc>
        <w:tc>
          <w:tcPr>
            <w:tcW w:w="1542" w:type="dxa"/>
          </w:tcPr>
          <w:p w14:paraId="310F9A3C">
            <w:pPr>
              <w:pStyle w:val="16"/>
              <w:spacing w:before="103" w:line="218" w:lineRule="auto"/>
              <w:ind w:left="561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pacing w:val="-3"/>
                <w:position w:val="-1"/>
              </w:rPr>
              <w:t>J/m</w:t>
            </w:r>
            <w:r>
              <w:rPr>
                <w:rFonts w:eastAsia="宋体"/>
                <w:spacing w:val="-3"/>
                <w:position w:val="9"/>
                <w:sz w:val="16"/>
                <w:szCs w:val="16"/>
              </w:rPr>
              <w:t>2</w:t>
            </w:r>
          </w:p>
        </w:tc>
      </w:tr>
      <w:tr w14:paraId="7D1BB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2315" w:type="dxa"/>
          </w:tcPr>
          <w:p w14:paraId="1B52D90B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热变形温度</w:t>
            </w:r>
          </w:p>
        </w:tc>
        <w:tc>
          <w:tcPr>
            <w:tcW w:w="2021" w:type="dxa"/>
          </w:tcPr>
          <w:p w14:paraId="545D33CA">
            <w:pPr>
              <w:pStyle w:val="16"/>
              <w:spacing w:before="158" w:line="187" w:lineRule="auto"/>
              <w:ind w:left="739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80-90</w:t>
            </w:r>
          </w:p>
        </w:tc>
        <w:tc>
          <w:tcPr>
            <w:tcW w:w="1542" w:type="dxa"/>
          </w:tcPr>
          <w:p w14:paraId="1698C073">
            <w:pPr>
              <w:spacing w:before="114" w:line="238" w:lineRule="auto"/>
              <w:ind w:left="675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sz w:val="24"/>
                <w:szCs w:val="24"/>
              </w:rPr>
              <w:t>℃</w:t>
            </w:r>
          </w:p>
        </w:tc>
      </w:tr>
      <w:tr w14:paraId="40939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2C32EA5D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玻璃化温度</w:t>
            </w:r>
          </w:p>
        </w:tc>
        <w:tc>
          <w:tcPr>
            <w:tcW w:w="2021" w:type="dxa"/>
          </w:tcPr>
          <w:p w14:paraId="3855A9C2">
            <w:pPr>
              <w:pStyle w:val="16"/>
              <w:spacing w:before="164" w:line="187" w:lineRule="auto"/>
              <w:ind w:left="739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80-90</w:t>
            </w:r>
          </w:p>
        </w:tc>
        <w:tc>
          <w:tcPr>
            <w:tcW w:w="1542" w:type="dxa"/>
          </w:tcPr>
          <w:p w14:paraId="495E4540">
            <w:pPr>
              <w:spacing w:before="121" w:line="238" w:lineRule="auto"/>
              <w:ind w:left="675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sz w:val="24"/>
                <w:szCs w:val="24"/>
              </w:rPr>
              <w:t>℃</w:t>
            </w:r>
          </w:p>
        </w:tc>
      </w:tr>
      <w:tr w14:paraId="5B258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79119A12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线膨胀系数</w:t>
            </w:r>
          </w:p>
        </w:tc>
        <w:tc>
          <w:tcPr>
            <w:tcW w:w="2021" w:type="dxa"/>
          </w:tcPr>
          <w:p w14:paraId="3350A98A">
            <w:pPr>
              <w:pStyle w:val="16"/>
              <w:spacing w:before="97" w:line="218" w:lineRule="auto"/>
              <w:ind w:left="48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pacing w:val="-1"/>
              </w:rPr>
              <w:t>30-35*10</w:t>
            </w:r>
            <w:r>
              <w:rPr>
                <w:rFonts w:eastAsia="宋体"/>
                <w:spacing w:val="-1"/>
                <w:position w:val="10"/>
                <w:sz w:val="16"/>
                <w:szCs w:val="16"/>
              </w:rPr>
              <w:t>-6</w:t>
            </w:r>
          </w:p>
        </w:tc>
        <w:tc>
          <w:tcPr>
            <w:tcW w:w="1542" w:type="dxa"/>
          </w:tcPr>
          <w:p w14:paraId="3884D67E">
            <w:pPr>
              <w:pStyle w:val="16"/>
              <w:spacing w:before="97" w:line="218" w:lineRule="auto"/>
              <w:ind w:left="624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pacing w:val="1"/>
                <w:position w:val="-3"/>
              </w:rPr>
              <w:t>K</w:t>
            </w:r>
            <w:r>
              <w:rPr>
                <w:rFonts w:eastAsia="宋体"/>
                <w:spacing w:val="1"/>
                <w:position w:val="7"/>
                <w:sz w:val="16"/>
                <w:szCs w:val="16"/>
              </w:rPr>
              <w:t>-1</w:t>
            </w:r>
          </w:p>
        </w:tc>
      </w:tr>
      <w:tr w14:paraId="40D9CB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49695A2E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导热系数</w:t>
            </w:r>
          </w:p>
        </w:tc>
        <w:tc>
          <w:tcPr>
            <w:tcW w:w="2021" w:type="dxa"/>
          </w:tcPr>
          <w:p w14:paraId="69B567A2">
            <w:pPr>
              <w:pStyle w:val="16"/>
              <w:spacing w:before="158" w:line="187" w:lineRule="auto"/>
              <w:ind w:left="632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1.00-1.1</w:t>
            </w:r>
          </w:p>
        </w:tc>
        <w:tc>
          <w:tcPr>
            <w:tcW w:w="1542" w:type="dxa"/>
          </w:tcPr>
          <w:p w14:paraId="6F559248">
            <w:pPr>
              <w:pStyle w:val="16"/>
              <w:spacing w:before="155" w:line="190" w:lineRule="auto"/>
              <w:ind w:left="446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W/mK</w:t>
            </w:r>
          </w:p>
        </w:tc>
      </w:tr>
      <w:tr w14:paraId="0F37A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7E644E5F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阻燃等级</w:t>
            </w:r>
          </w:p>
        </w:tc>
        <w:tc>
          <w:tcPr>
            <w:tcW w:w="2021" w:type="dxa"/>
          </w:tcPr>
          <w:p w14:paraId="691F8FA4">
            <w:pPr>
              <w:pStyle w:val="16"/>
              <w:spacing w:before="169" w:line="184" w:lineRule="auto"/>
              <w:ind w:left="842"/>
              <w:rPr>
                <w:rFonts w:eastAsia="宋体"/>
              </w:rPr>
            </w:pPr>
            <w:r>
              <w:rPr>
                <w:rFonts w:eastAsia="宋体"/>
              </w:rPr>
              <w:t>HB</w:t>
            </w:r>
          </w:p>
        </w:tc>
        <w:tc>
          <w:tcPr>
            <w:tcW w:w="1542" w:type="dxa"/>
          </w:tcPr>
          <w:p w14:paraId="7AD66D9A">
            <w:pPr>
              <w:spacing w:before="122" w:line="220" w:lineRule="auto"/>
              <w:ind w:left="539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等级</w:t>
            </w:r>
          </w:p>
        </w:tc>
      </w:tr>
      <w:tr w14:paraId="05426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2315" w:type="dxa"/>
          </w:tcPr>
          <w:p w14:paraId="64930CCA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热老化等级</w:t>
            </w:r>
          </w:p>
        </w:tc>
        <w:tc>
          <w:tcPr>
            <w:tcW w:w="2021" w:type="dxa"/>
          </w:tcPr>
          <w:p w14:paraId="785E991D">
            <w:pPr>
              <w:pStyle w:val="16"/>
              <w:spacing w:before="163" w:line="184" w:lineRule="auto"/>
              <w:ind w:left="927"/>
              <w:rPr>
                <w:rFonts w:eastAsia="宋体"/>
              </w:rPr>
            </w:pPr>
            <w:r>
              <w:rPr>
                <w:rFonts w:eastAsia="宋体"/>
              </w:rPr>
              <w:t>H</w:t>
            </w:r>
          </w:p>
        </w:tc>
        <w:tc>
          <w:tcPr>
            <w:tcW w:w="1542" w:type="dxa"/>
          </w:tcPr>
          <w:p w14:paraId="6024F7C7">
            <w:pPr>
              <w:spacing w:before="116" w:line="220" w:lineRule="auto"/>
              <w:ind w:left="539"/>
              <w:rPr>
                <w:rFonts w:ascii="Times New Roman" w:hAnsi="Times New Roman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等级</w:t>
            </w:r>
          </w:p>
        </w:tc>
      </w:tr>
      <w:tr w14:paraId="7DC0B5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315" w:type="dxa"/>
          </w:tcPr>
          <w:p w14:paraId="60390C7C">
            <w:pPr>
              <w:pStyle w:val="16"/>
              <w:spacing w:before="115" w:line="220" w:lineRule="auto"/>
              <w:ind w:left="257"/>
              <w:rPr>
                <w:rFonts w:hint="eastAsia" w:ascii="仿宋" w:hAnsi="仿宋" w:eastAsia="仿宋" w:cs="仿宋"/>
                <w:spacing w:val="-7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 小时煮沸吸水率</w:t>
            </w:r>
          </w:p>
        </w:tc>
        <w:tc>
          <w:tcPr>
            <w:tcW w:w="2021" w:type="dxa"/>
          </w:tcPr>
          <w:p w14:paraId="07A0ED5B">
            <w:pPr>
              <w:pStyle w:val="16"/>
              <w:spacing w:before="159" w:line="187" w:lineRule="auto"/>
              <w:ind w:left="591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0.1 ~</w:t>
            </w:r>
            <w:r>
              <w:rPr>
                <w:rFonts w:eastAsia="宋体"/>
                <w:spacing w:val="6"/>
              </w:rPr>
              <w:t xml:space="preserve"> </w:t>
            </w:r>
            <w:r>
              <w:rPr>
                <w:rFonts w:eastAsia="宋体"/>
                <w:spacing w:val="-1"/>
              </w:rPr>
              <w:t>0.2</w:t>
            </w:r>
          </w:p>
        </w:tc>
        <w:tc>
          <w:tcPr>
            <w:tcW w:w="1542" w:type="dxa"/>
          </w:tcPr>
          <w:p w14:paraId="43BE7CA6">
            <w:pPr>
              <w:pStyle w:val="16"/>
              <w:spacing w:before="155" w:line="230" w:lineRule="auto"/>
              <w:ind w:left="678"/>
              <w:rPr>
                <w:rFonts w:eastAsia="宋体"/>
              </w:rPr>
            </w:pPr>
            <w:r>
              <w:rPr>
                <w:rFonts w:eastAsia="宋体"/>
              </w:rPr>
              <w:t>%</w:t>
            </w:r>
          </w:p>
        </w:tc>
      </w:tr>
      <w:tr w14:paraId="04978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315" w:type="dxa"/>
          </w:tcPr>
          <w:p w14:paraId="650BA74E">
            <w:pPr>
              <w:pStyle w:val="16"/>
              <w:spacing w:before="123" w:line="220" w:lineRule="auto"/>
              <w:ind w:left="143"/>
              <w:rPr>
                <w:rFonts w:hint="eastAsia" w:ascii="仿宋" w:hAnsi="仿宋" w:eastAsia="仿宋" w:cs="仿宋"/>
                <w:spacing w:val="-7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100 小时煮沸吸水率</w:t>
            </w:r>
          </w:p>
        </w:tc>
        <w:tc>
          <w:tcPr>
            <w:tcW w:w="2021" w:type="dxa"/>
          </w:tcPr>
          <w:p w14:paraId="0B1E44C3">
            <w:pPr>
              <w:pStyle w:val="16"/>
              <w:spacing w:before="166" w:line="187" w:lineRule="auto"/>
              <w:ind w:left="575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1.50-2.00</w:t>
            </w:r>
          </w:p>
        </w:tc>
        <w:tc>
          <w:tcPr>
            <w:tcW w:w="1542" w:type="dxa"/>
          </w:tcPr>
          <w:p w14:paraId="2340B61F">
            <w:pPr>
              <w:pStyle w:val="16"/>
              <w:spacing w:before="162" w:line="230" w:lineRule="auto"/>
              <w:ind w:left="678"/>
              <w:rPr>
                <w:rFonts w:eastAsia="宋体"/>
              </w:rPr>
            </w:pPr>
            <w:r>
              <w:rPr>
                <w:rFonts w:eastAsia="宋体"/>
              </w:rPr>
              <w:t>%</w:t>
            </w:r>
          </w:p>
        </w:tc>
      </w:tr>
      <w:tr w14:paraId="4A37E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315" w:type="dxa"/>
          </w:tcPr>
          <w:p w14:paraId="456797A8">
            <w:pPr>
              <w:spacing w:before="114" w:line="221" w:lineRule="auto"/>
              <w:jc w:val="center"/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击穿强度</w:t>
            </w:r>
          </w:p>
        </w:tc>
        <w:tc>
          <w:tcPr>
            <w:tcW w:w="2021" w:type="dxa"/>
          </w:tcPr>
          <w:p w14:paraId="3231D030">
            <w:pPr>
              <w:pStyle w:val="16"/>
              <w:spacing w:before="160" w:line="187" w:lineRule="auto"/>
              <w:ind w:left="793"/>
              <w:rPr>
                <w:rFonts w:eastAsia="宋体"/>
              </w:rPr>
            </w:pPr>
            <w:r>
              <w:rPr>
                <w:rFonts w:eastAsia="宋体"/>
                <w:spacing w:val="-1"/>
              </w:rPr>
              <w:t>20-1</w:t>
            </w:r>
          </w:p>
        </w:tc>
        <w:tc>
          <w:tcPr>
            <w:tcW w:w="1542" w:type="dxa"/>
          </w:tcPr>
          <w:p w14:paraId="3C0C9834">
            <w:pPr>
              <w:pStyle w:val="16"/>
              <w:spacing w:before="156" w:line="190" w:lineRule="auto"/>
              <w:ind w:left="408"/>
              <w:rPr>
                <w:rFonts w:eastAsia="宋体"/>
              </w:rPr>
            </w:pPr>
            <w:r>
              <w:rPr>
                <w:rFonts w:eastAsia="宋体"/>
                <w:spacing w:val="-2"/>
              </w:rPr>
              <w:t>kV/mm</w:t>
            </w:r>
          </w:p>
        </w:tc>
      </w:tr>
    </w:tbl>
    <w:p w14:paraId="5E0FED1A">
      <w:pPr>
        <w:pStyle w:val="4"/>
        <w:spacing w:before="160" w:after="160" w:line="221" w:lineRule="auto"/>
        <w:outlineLvl w:val="1"/>
        <w:rPr>
          <w:rFonts w:ascii="Times New Roman" w:hAnsi="Times New Roman"/>
          <w:sz w:val="21"/>
        </w:rPr>
      </w:pPr>
      <w:bookmarkStart w:id="3" w:name="_Toc192579944"/>
      <w:r>
        <w:rPr>
          <w:rFonts w:ascii="Times New Roman" w:hAnsi="Times New Roman" w:eastAsia="仿宋" w:cs="Times New Roman"/>
          <w:b/>
          <w:bCs/>
          <w:spacing w:val="-10"/>
        </w:rPr>
        <w:t xml:space="preserve">4 </w:t>
      </w:r>
      <w:r>
        <w:rPr>
          <w:rFonts w:hint="eastAsia" w:ascii="Times New Roman" w:hAnsi="Times New Roman" w:eastAsia="仿宋" w:cs="Times New Roman"/>
          <w:b/>
          <w:bCs/>
          <w:spacing w:val="-10"/>
          <w:lang w:eastAsia="zh-CN"/>
        </w:rPr>
        <w:t xml:space="preserve">  </w:t>
      </w:r>
      <w:r>
        <w:rPr>
          <w:rFonts w:ascii="Times New Roman" w:hAnsi="Times New Roman" w:eastAsia="仿宋" w:cs="Times New Roman"/>
          <w:b/>
          <w:bCs/>
          <w:spacing w:val="-10"/>
        </w:rPr>
        <w:t>检验</w:t>
      </w:r>
      <w:bookmarkEnd w:id="3"/>
    </w:p>
    <w:p w14:paraId="2407E3AD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</w:rPr>
      </w:pPr>
      <w:r>
        <w:rPr>
          <w:rFonts w:ascii="Times New Roman" w:hAnsi="Times New Roman" w:eastAsia="仿宋"/>
          <w:spacing w:val="-1"/>
        </w:rPr>
        <w:t>4.1  外观测定</w:t>
      </w:r>
    </w:p>
    <w:p w14:paraId="5DB62688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以目视测定。取适量树脂倒入试管中，在透射光下观察。 </w:t>
      </w:r>
    </w:p>
    <w:p w14:paraId="2FF12293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4.2  环氧当量的测定</w:t>
      </w:r>
    </w:p>
    <w:p w14:paraId="50C81BD9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采用 GB 4612 中规定的方法。</w:t>
      </w:r>
    </w:p>
    <w:p w14:paraId="27E12162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4.3  粘度的测定</w:t>
      </w:r>
    </w:p>
    <w:p w14:paraId="02CA865F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采用 GB 12007.4 中规定的方法。</w:t>
      </w:r>
    </w:p>
    <w:p w14:paraId="2E918EDA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4.4 凝胶时间的测定</w:t>
      </w:r>
    </w:p>
    <w:p w14:paraId="21221EB6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采用 GB 12007.7 中规定的方法。 </w:t>
      </w:r>
    </w:p>
    <w:p w14:paraId="3500EA9C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4.5  蒸气压的测定</w:t>
      </w:r>
    </w:p>
    <w:p w14:paraId="7F3528E0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采用 GB/T 22228-2008 中规定的方法。 </w:t>
      </w:r>
    </w:p>
    <w:p w14:paraId="356E2125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4.6  拉伸强度、拉伸模量的测定</w:t>
      </w:r>
    </w:p>
    <w:p w14:paraId="5CFA6760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采用 GB 1040 中规定的方法。</w:t>
      </w:r>
    </w:p>
    <w:p w14:paraId="0D5CAD0A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4.7  冲击强度的测定</w:t>
      </w:r>
    </w:p>
    <w:p w14:paraId="3766FFF9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采用 GB1043 中规定的方法。 </w:t>
      </w:r>
    </w:p>
    <w:p w14:paraId="0576B4CC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4.8  弯曲强度的测定</w:t>
      </w:r>
    </w:p>
    <w:p w14:paraId="3602B892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采用 GB/T 9341 中规定的方法。 </w:t>
      </w:r>
    </w:p>
    <w:p w14:paraId="216F974D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4.9  煮沸吸水率的测定</w:t>
      </w:r>
    </w:p>
    <w:p w14:paraId="510C2BC7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采用 GB1034-2008  中规定的方法</w:t>
      </w:r>
    </w:p>
    <w:p w14:paraId="5AF86415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4.10 玻璃化温度、线膨胀系数、热分解温度的测定</w:t>
      </w:r>
    </w:p>
    <w:p w14:paraId="06245DF6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</w:rPr>
      </w:pPr>
      <w:r>
        <w:rPr>
          <w:rFonts w:ascii="Times New Roman" w:hAnsi="Times New Roman" w:eastAsia="仿宋"/>
          <w:spacing w:val="-1"/>
        </w:rPr>
        <w:t xml:space="preserve">采用 TMA(Thermomechanical analysis)规定的方法。 </w:t>
      </w:r>
    </w:p>
    <w:p w14:paraId="3C356229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</w:rPr>
      </w:pPr>
      <w:r>
        <w:rPr>
          <w:rFonts w:ascii="Times New Roman" w:hAnsi="Times New Roman" w:eastAsia="仿宋"/>
          <w:spacing w:val="-1"/>
        </w:rPr>
        <w:t>4.11 击穿强度的测定</w:t>
      </w:r>
    </w:p>
    <w:p w14:paraId="0FBC7956">
      <w:pPr>
        <w:pStyle w:val="4"/>
        <w:spacing w:line="360" w:lineRule="auto"/>
        <w:ind w:firstLine="476" w:firstLineChars="200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采用 GB/T 1408  中规定的方法。</w:t>
      </w:r>
    </w:p>
    <w:p w14:paraId="4C878353">
      <w:pPr>
        <w:pStyle w:val="4"/>
        <w:spacing w:before="160" w:after="160" w:line="221" w:lineRule="auto"/>
        <w:outlineLvl w:val="1"/>
        <w:rPr>
          <w:rFonts w:ascii="Times New Roman" w:hAnsi="Times New Roman" w:eastAsia="仿宋" w:cs="Times New Roman"/>
          <w:b/>
          <w:bCs/>
          <w:spacing w:val="-10"/>
          <w:lang w:eastAsia="zh-CN"/>
        </w:rPr>
      </w:pPr>
      <w:bookmarkStart w:id="4" w:name="_Toc192579945"/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5</w:t>
      </w:r>
      <w:r>
        <w:rPr>
          <w:rFonts w:hint="eastAsia" w:ascii="Times New Roman" w:hAnsi="Times New Roman" w:eastAsia="仿宋" w:cs="Times New Roman"/>
          <w:b/>
          <w:bCs/>
          <w:spacing w:val="-10"/>
          <w:lang w:eastAsia="zh-CN"/>
        </w:rPr>
        <w:t xml:space="preserve">  </w:t>
      </w:r>
      <w:r>
        <w:rPr>
          <w:rFonts w:ascii="Times New Roman" w:hAnsi="Times New Roman" w:eastAsia="仿宋" w:cs="Times New Roman"/>
          <w:b/>
          <w:bCs/>
          <w:spacing w:val="-10"/>
          <w:lang w:eastAsia="zh-CN"/>
        </w:rPr>
        <w:t>标志、运输、贮存</w:t>
      </w:r>
      <w:bookmarkEnd w:id="4"/>
    </w:p>
    <w:p w14:paraId="05C5F201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5.1  包装件上应有清晰、牢固的标志，标明产品名称、型号、等级、批号、净重、 生产日期和生产厂名并附有合格证。</w:t>
      </w:r>
    </w:p>
    <w:p w14:paraId="15E1C497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 xml:space="preserve">5.2 </w:t>
      </w:r>
      <w:r>
        <w:rPr>
          <w:rFonts w:hint="eastAsia" w:ascii="Times New Roman" w:hAnsi="Times New Roman" w:eastAsia="仿宋"/>
          <w:spacing w:val="-1"/>
          <w:lang w:eastAsia="zh-CN"/>
        </w:rPr>
        <w:t xml:space="preserve"> </w:t>
      </w:r>
      <w:r>
        <w:rPr>
          <w:rFonts w:ascii="Times New Roman" w:hAnsi="Times New Roman" w:eastAsia="仿宋"/>
          <w:spacing w:val="-1"/>
          <w:lang w:eastAsia="zh-CN"/>
        </w:rPr>
        <w:t>环氧树脂和固化剂采用 200 升的铁桶包装；硅微粉采用大包装（吨包）密封包装。</w:t>
      </w:r>
    </w:p>
    <w:p w14:paraId="113F9F7D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5.2  本产品应采用有篷的运输工具运输，以防雨、防潮和防晒。搬运时应避免包装件破损。本产品为非危险品。</w:t>
      </w:r>
    </w:p>
    <w:p w14:paraId="50D62E97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  <w:lang w:eastAsia="zh-CN"/>
        </w:rPr>
        <w:t>5.3  本产品应存放在通风、干燥的库房内。防止日光直接照射，并应隔绝火，远离热源。</w:t>
      </w:r>
    </w:p>
    <w:p w14:paraId="43C628D4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  <w:r>
        <w:rPr>
          <w:rFonts w:ascii="Times New Roman" w:hAnsi="Times New Roman" w:eastAsia="仿宋"/>
          <w:spacing w:val="-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862330</wp:posOffset>
                </wp:positionV>
                <wp:extent cx="2514600" cy="0"/>
                <wp:effectExtent l="9525" t="9525" r="9525" b="9525"/>
                <wp:wrapNone/>
                <wp:docPr id="1666001039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0"/>
                        </a:xfrm>
                        <a:custGeom>
                          <a:avLst/>
                          <a:gdLst>
                            <a:gd name="T0" fmla="*/ 0 w 3975"/>
                            <a:gd name="T1" fmla="*/ 0 h 15"/>
                            <a:gd name="T2" fmla="*/ 3975 w 3975"/>
                            <a:gd name="T3" fmla="*/ 0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975" h="15">
                              <a:moveTo>
                                <a:pt x="0" y="0"/>
                              </a:moveTo>
                              <a:lnTo>
                                <a:pt x="3975" y="0"/>
                              </a:lnTo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114.35pt;margin-top:67.9pt;height:0pt;width:198pt;z-index:251659264;mso-width-relative:page;mso-height-relative:page;" filled="f" stroked="t" coordsize="3975,15" o:gfxdata="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hH2vDtgAAAALAQAADwAAAAAA&#10;AAABACAAAAAiAAAAZHJzL2Rvd25yZXYueG1sUEsBAhQAFAAAAAgAh07iQJhPBIe+AgAAAAYAAA4A&#10;AAAAAAAAAQAgAAAAJwEAAGRycy9lMm9Eb2MueG1sUEsFBgAAAAAGAAYAWQEAAFcGAAAAAA==&#10;" path="m0,0l3975,0e">
                <v:path o:connectlocs="0,0;2514600,0" o:connectangles="0,0"/>
                <v:fill on="f" focussize="0,0"/>
                <v:stroke color="#000000" joinstyle="round" endcap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仿宋"/>
          <w:spacing w:val="-1"/>
          <w:lang w:eastAsia="zh-CN"/>
        </w:rPr>
        <w:t>5.4 产品使用需注意包装上的贮存日期。超过贮存期可按本标准规定再行检，如符合质量要求仍可使用。</w:t>
      </w:r>
    </w:p>
    <w:p w14:paraId="77950BAE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0EFBE186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6FD65FE3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536BCA5B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3F2B2676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56375E7B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5B947A1A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231E6424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p w14:paraId="679903BA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  <w:sectPr>
          <w:pgSz w:w="11903" w:h="16841"/>
          <w:pgMar w:top="1418" w:right="1134" w:bottom="1134" w:left="1418" w:header="0" w:footer="0" w:gutter="0"/>
          <w:cols w:space="0" w:num="1"/>
        </w:sectPr>
      </w:pPr>
    </w:p>
    <w:tbl>
      <w:tblPr>
        <w:tblStyle w:val="11"/>
        <w:tblW w:w="13061" w:type="dxa"/>
        <w:tblInd w:w="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76"/>
        <w:gridCol w:w="2448"/>
        <w:gridCol w:w="779"/>
        <w:gridCol w:w="939"/>
        <w:gridCol w:w="2086"/>
        <w:gridCol w:w="859"/>
        <w:gridCol w:w="1677"/>
        <w:gridCol w:w="1677"/>
      </w:tblGrid>
      <w:tr w14:paraId="63407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06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909AC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报价汇总表</w:t>
            </w:r>
          </w:p>
        </w:tc>
      </w:tr>
      <w:tr w14:paraId="47A11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52E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94E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D41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型号规格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335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B010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F6BF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单价（元）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AF1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FBB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生产厂家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42D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其他说明</w:t>
            </w:r>
          </w:p>
        </w:tc>
      </w:tr>
      <w:tr w14:paraId="09C77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86F7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DD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环氧树脂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CFCA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12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B2BD1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0D0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FB57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141F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B924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2383B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62A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A7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环氧固化剂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569A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7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E7E69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2CB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0E99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50EC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36F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53C91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F937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2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硅微粉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287D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C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6026D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8BDF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882F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3D6B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DAE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65886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6BF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5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色浆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00E6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D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FE59C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99EF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0404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FEF1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6FEE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23CCD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96E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94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常温树脂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ACD1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F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82CE4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8070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1E7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4B6A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ED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32DDE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096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2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常温固化剂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67B7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5BDC1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  <w:bookmarkStart w:id="5" w:name="_GoBack"/>
            <w:bookmarkEnd w:id="5"/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681E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5C73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823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9AE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65D04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899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F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铁芯保护液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B2A8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8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6A85B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671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9E7C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79DD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7DD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58D77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EEE0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B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铁芯固化剂</w:t>
            </w:r>
          </w:p>
        </w:tc>
        <w:tc>
          <w:tcPr>
            <w:tcW w:w="2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4037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C076E">
            <w:pPr>
              <w:jc w:val="center"/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CF0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4348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FF58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D11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</w:tr>
      <w:tr w14:paraId="3C499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8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348E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总计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2CAE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97DA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6DC9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2A2C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771AD">
            <w:pP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说明：1、投标单位需严格按照此格式进行报价。</w:t>
            </w:r>
          </w:p>
        </w:tc>
      </w:tr>
      <w:tr w14:paraId="6ED60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9D91">
            <w:pP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2、投标人需要根据表格</w:t>
            </w:r>
            <w:r>
              <w:rPr>
                <w:rFonts w:hint="eastAsia" w:eastAsia="宋体"/>
                <w:color w:val="000000"/>
                <w:sz w:val="22"/>
                <w:szCs w:val="22"/>
                <w:lang w:val="en-US" w:eastAsia="zh-CN"/>
              </w:rPr>
              <w:t>单位</w:t>
            </w:r>
            <w:r>
              <w:rPr>
                <w:rFonts w:hint="eastAsia"/>
                <w:color w:val="000000"/>
                <w:sz w:val="22"/>
                <w:szCs w:val="22"/>
              </w:rPr>
              <w:t>进行报价，单个产品合计价格须与报价汇总表单价保持一致。</w:t>
            </w:r>
          </w:p>
        </w:tc>
      </w:tr>
      <w:tr w14:paraId="41AF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3D665">
            <w:pP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3、本招标为年度框架招标，本报价仅列出常用型号，用户报价时需提供产品样本及价格表，如采购时产生不在本报价型号的产品型号，则产品单价将按对应中标金额与面价表比例进行计算。</w:t>
            </w:r>
          </w:p>
        </w:tc>
      </w:tr>
    </w:tbl>
    <w:p w14:paraId="4E06D14E">
      <w:pPr>
        <w:pStyle w:val="4"/>
        <w:spacing w:line="360" w:lineRule="auto"/>
        <w:jc w:val="both"/>
        <w:rPr>
          <w:rFonts w:ascii="Times New Roman" w:hAnsi="Times New Roman" w:eastAsia="仿宋"/>
          <w:spacing w:val="-1"/>
          <w:lang w:eastAsia="zh-CN"/>
        </w:rPr>
      </w:pPr>
    </w:p>
    <w:sectPr>
      <w:pgSz w:w="16841" w:h="11903" w:orient="landscape"/>
      <w:pgMar w:top="1418" w:right="1418" w:bottom="1134" w:left="1134" w:header="0" w:footer="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59405210"/>
      <w:docPartObj>
        <w:docPartGallery w:val="autotext"/>
      </w:docPartObj>
    </w:sdtPr>
    <w:sdtContent>
      <w:p w14:paraId="1FB28233">
        <w:pPr>
          <w:pStyle w:val="6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099B17E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hMDczZmRjNzgzYzQyNjRjMjk3N2FhN2FhOWQyZTYifQ=="/>
  </w:docVars>
  <w:rsids>
    <w:rsidRoot w:val="006D1C06"/>
    <w:rsid w:val="00057485"/>
    <w:rsid w:val="001F565B"/>
    <w:rsid w:val="00275598"/>
    <w:rsid w:val="002E1D54"/>
    <w:rsid w:val="00401DBF"/>
    <w:rsid w:val="00454D58"/>
    <w:rsid w:val="004B7A1A"/>
    <w:rsid w:val="005B6F84"/>
    <w:rsid w:val="006D1C06"/>
    <w:rsid w:val="007072D9"/>
    <w:rsid w:val="0079037A"/>
    <w:rsid w:val="0082425D"/>
    <w:rsid w:val="00831894"/>
    <w:rsid w:val="009372A0"/>
    <w:rsid w:val="00A90C9A"/>
    <w:rsid w:val="00AA2D59"/>
    <w:rsid w:val="00AA38ED"/>
    <w:rsid w:val="00C6713B"/>
    <w:rsid w:val="00DE45F9"/>
    <w:rsid w:val="00F32337"/>
    <w:rsid w:val="00F711BE"/>
    <w:rsid w:val="0BBD2409"/>
    <w:rsid w:val="0BC70A78"/>
    <w:rsid w:val="11AC17A6"/>
    <w:rsid w:val="183115B9"/>
    <w:rsid w:val="1B852F33"/>
    <w:rsid w:val="1DBD0E94"/>
    <w:rsid w:val="1DDF62E6"/>
    <w:rsid w:val="231601E0"/>
    <w:rsid w:val="25A3610D"/>
    <w:rsid w:val="271866BD"/>
    <w:rsid w:val="27FB5231"/>
    <w:rsid w:val="2C4A3D02"/>
    <w:rsid w:val="31BA549E"/>
    <w:rsid w:val="32CE2EA9"/>
    <w:rsid w:val="3C5A1FD1"/>
    <w:rsid w:val="3F5228FF"/>
    <w:rsid w:val="44E641D9"/>
    <w:rsid w:val="48C447EC"/>
    <w:rsid w:val="4D7E2916"/>
    <w:rsid w:val="5B98249C"/>
    <w:rsid w:val="5D7719D5"/>
    <w:rsid w:val="64512692"/>
    <w:rsid w:val="685F60E7"/>
    <w:rsid w:val="69337D87"/>
    <w:rsid w:val="71FB4B45"/>
    <w:rsid w:val="72490DAB"/>
    <w:rsid w:val="7883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line="360" w:lineRule="auto"/>
      <w:ind w:left="1260" w:firstLine="200" w:firstLineChars="200"/>
      <w:textAlignment w:val="auto"/>
    </w:pPr>
    <w:rPr>
      <w:rFonts w:ascii="Calibri" w:hAnsi="Calibri" w:eastAsia="宋体" w:cs="Times New Roman"/>
      <w:snapToGrid/>
      <w:color w:val="auto"/>
      <w:kern w:val="2"/>
      <w:sz w:val="18"/>
      <w:szCs w:val="18"/>
      <w:lang w:eastAsia="zh-CN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5">
    <w:name w:val="Date"/>
    <w:basedOn w:val="1"/>
    <w:next w:val="1"/>
    <w:link w:val="17"/>
    <w:qFormat/>
    <w:uiPriority w:val="0"/>
    <w:pPr>
      <w:ind w:left="100" w:leftChars="2500"/>
    </w:p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8">
    <w:name w:val="toc 1"/>
    <w:basedOn w:val="1"/>
    <w:next w:val="1"/>
    <w:autoRedefine/>
    <w:qFormat/>
    <w:uiPriority w:val="39"/>
  </w:style>
  <w:style w:type="paragraph" w:styleId="9">
    <w:name w:val="footnote text"/>
    <w:basedOn w:val="1"/>
    <w:link w:val="20"/>
    <w:qFormat/>
    <w:uiPriority w:val="0"/>
    <w:rPr>
      <w:sz w:val="18"/>
      <w:szCs w:val="18"/>
    </w:rPr>
  </w:style>
  <w:style w:type="paragraph" w:styleId="10">
    <w:name w:val="toc 2"/>
    <w:basedOn w:val="1"/>
    <w:next w:val="1"/>
    <w:autoRedefine/>
    <w:qFormat/>
    <w:uiPriority w:val="39"/>
    <w:pPr>
      <w:ind w:left="420" w:leftChars="200"/>
    </w:pPr>
  </w:style>
  <w:style w:type="character" w:styleId="13">
    <w:name w:val="Hyperlink"/>
    <w:qFormat/>
    <w:uiPriority w:val="99"/>
    <w:rPr>
      <w:color w:val="0000FF"/>
      <w:u w:val="single"/>
    </w:rPr>
  </w:style>
  <w:style w:type="character" w:styleId="14">
    <w:name w:val="footnote reference"/>
    <w:basedOn w:val="12"/>
    <w:qFormat/>
    <w:uiPriority w:val="0"/>
    <w:rPr>
      <w:vertAlign w:val="superscript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7">
    <w:name w:val="日期 字符"/>
    <w:basedOn w:val="12"/>
    <w:link w:val="5"/>
    <w:qFormat/>
    <w:uiPriority w:val="0"/>
    <w:rPr>
      <w:rFonts w:eastAsia="Arial"/>
      <w:snapToGrid w:val="0"/>
      <w:color w:val="000000"/>
      <w:sz w:val="21"/>
      <w:szCs w:val="21"/>
      <w:lang w:eastAsia="en-US"/>
    </w:rPr>
  </w:style>
  <w:style w:type="paragraph" w:customStyle="1" w:styleId="18">
    <w:name w:val="TOC 标题2"/>
    <w:basedOn w:val="2"/>
    <w:next w:val="1"/>
    <w:unhideWhenUsed/>
    <w:qFormat/>
    <w:uiPriority w:val="39"/>
    <w:pPr>
      <w:widowControl w:val="0"/>
      <w:kinsoku/>
      <w:autoSpaceDE/>
      <w:autoSpaceDN/>
      <w:adjustRightInd/>
      <w:snapToGrid/>
      <w:jc w:val="both"/>
      <w:textAlignment w:val="auto"/>
      <w:outlineLvl w:val="9"/>
    </w:pPr>
    <w:rPr>
      <w:rFonts w:ascii="Times New Roman" w:hAnsi="Times New Roman" w:eastAsia="宋体" w:cs="Times New Roman"/>
      <w:snapToGrid/>
      <w:color w:val="auto"/>
      <w:lang w:eastAsia="zh-CN"/>
    </w:rPr>
  </w:style>
  <w:style w:type="character" w:customStyle="1" w:styleId="19">
    <w:name w:val="标题 1 字符"/>
    <w:basedOn w:val="12"/>
    <w:link w:val="2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20">
    <w:name w:val="脚注文本 字符"/>
    <w:basedOn w:val="12"/>
    <w:link w:val="9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21">
    <w:name w:val="页脚 字符"/>
    <w:basedOn w:val="12"/>
    <w:link w:val="6"/>
    <w:qFormat/>
    <w:uiPriority w:val="99"/>
    <w:rPr>
      <w:rFonts w:eastAsia="Arial"/>
      <w:snapToGrid w:val="0"/>
      <w:color w:val="000000"/>
      <w:sz w:val="18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0045F-1ED3-4C27-9C8C-82D48C4125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1527</Words>
  <Characters>2075</Characters>
  <Lines>19</Lines>
  <Paragraphs>5</Paragraphs>
  <TotalTime>0</TotalTime>
  <ScaleCrop>false</ScaleCrop>
  <LinksUpToDate>false</LinksUpToDate>
  <CharactersWithSpaces>2375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2025-03-11T01:06:00Z</dcterms:created>
  <dc:creator>cyl</dc:creator>
  <cp:lastModifiedBy>Jimmy</cp:lastModifiedBy>
  <cp:lastPrinted>2025-03-11T02:06:00Z</cp:lastPrinted>
  <dcterms:modified xsi:type="dcterms:W3CDTF">2025-03-19T09:04:41Z</dcterms:modified>
  <dc:title>变压器用铜带检验标准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2024-07-16T15:20:31Z</vt:filetime>
  </property>
  <property fmtid="{D5CDD505-2E9C-101B-9397-08002B2CF9AE}" pid="4" name="KSOProductBuildVer">
    <vt:lpwstr>2052-12.1.0.20305</vt:lpwstr>
  </property>
  <property fmtid="{D5CDD505-2E9C-101B-9397-08002B2CF9AE}" pid="5" name="ICV">
    <vt:lpwstr>A1AA72ED35E94AEB8EE672B392A8CB0C_12</vt:lpwstr>
  </property>
  <property fmtid="{D5CDD505-2E9C-101B-9397-08002B2CF9AE}" pid="6" name="KSOTemplateDocerSaveRecord">
    <vt:lpwstr>eyJoZGlkIjoiMzEwNTM5NzYwMDRjMzkwZTVkZjY2ODkwMGIxNGU0OTUiLCJ1c2VySWQiOiIyMjkxODkxMDUifQ==</vt:lpwstr>
  </property>
</Properties>
</file>