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85A88E2">
      <w:pPr>
        <w:spacing w:line="360" w:lineRule="auto"/>
        <w:ind w:firstLine="261" w:firstLineChars="50"/>
        <w:jc w:val="center"/>
        <w:rPr>
          <w:rFonts w:hint="eastAsia" w:ascii="宋体" w:hAnsi="宋体"/>
          <w:b/>
          <w:sz w:val="52"/>
        </w:rPr>
      </w:pPr>
      <w:r>
        <w:rPr>
          <w:rFonts w:hint="eastAsia" w:ascii="宋体" w:hAnsi="宋体"/>
          <w:b/>
          <w:sz w:val="52"/>
        </w:rPr>
        <w:t>许昌智能继电器股份有限公司</w:t>
      </w:r>
    </w:p>
    <w:p w14:paraId="408C0BDE">
      <w:pPr>
        <w:spacing w:line="360" w:lineRule="auto"/>
        <w:ind w:firstLine="261" w:firstLineChars="50"/>
        <w:jc w:val="center"/>
        <w:rPr>
          <w:rFonts w:ascii="宋体"/>
          <w:b/>
          <w:sz w:val="52"/>
        </w:rPr>
      </w:pPr>
      <w:r>
        <w:rPr>
          <w:rFonts w:hint="eastAsia" w:ascii="宋体" w:hAnsi="宋体"/>
          <w:b/>
          <w:sz w:val="52"/>
        </w:rPr>
        <w:t>变压器用绕组线集中招标采购</w:t>
      </w:r>
    </w:p>
    <w:p w14:paraId="24232C16">
      <w:pPr>
        <w:spacing w:line="360" w:lineRule="auto"/>
        <w:jc w:val="center"/>
        <w:rPr>
          <w:rFonts w:hint="eastAsia" w:ascii="宋体" w:hAnsi="宋体"/>
          <w:b/>
          <w:sz w:val="48"/>
          <w:szCs w:val="48"/>
          <w:u w:val="single"/>
        </w:rPr>
      </w:pPr>
    </w:p>
    <w:p w14:paraId="3517EFCE">
      <w:pPr>
        <w:spacing w:line="360" w:lineRule="auto"/>
        <w:jc w:val="center"/>
        <w:rPr>
          <w:rFonts w:ascii="宋体"/>
          <w:b/>
          <w:sz w:val="48"/>
          <w:szCs w:val="48"/>
        </w:rPr>
      </w:pPr>
    </w:p>
    <w:p w14:paraId="613F0965">
      <w:pPr>
        <w:spacing w:line="360" w:lineRule="auto"/>
        <w:jc w:val="center"/>
        <w:rPr>
          <w:rFonts w:hint="eastAsia" w:ascii="宋体" w:hAnsi="宋体"/>
          <w:b/>
          <w:sz w:val="48"/>
          <w:szCs w:val="48"/>
        </w:rPr>
      </w:pPr>
      <w:r>
        <w:rPr>
          <w:rFonts w:hint="eastAsia" w:ascii="宋体" w:hAnsi="宋体"/>
          <w:b/>
          <w:sz w:val="48"/>
          <w:szCs w:val="48"/>
        </w:rPr>
        <w:t>纸包扁铜线</w:t>
      </w:r>
    </w:p>
    <w:p w14:paraId="648381A1">
      <w:pPr>
        <w:spacing w:line="360" w:lineRule="auto"/>
        <w:jc w:val="center"/>
        <w:rPr>
          <w:rFonts w:hint="eastAsia" w:ascii="宋体" w:hAnsi="宋体"/>
          <w:b/>
          <w:sz w:val="48"/>
          <w:szCs w:val="48"/>
        </w:rPr>
      </w:pPr>
    </w:p>
    <w:p w14:paraId="2935BBC8">
      <w:pPr>
        <w:spacing w:line="360" w:lineRule="auto"/>
        <w:jc w:val="center"/>
        <w:rPr>
          <w:rFonts w:ascii="宋体"/>
          <w:b/>
          <w:sz w:val="48"/>
          <w:szCs w:val="48"/>
        </w:rPr>
      </w:pPr>
      <w:r>
        <w:rPr>
          <w:rFonts w:hint="eastAsia" w:ascii="宋体"/>
          <w:b/>
          <w:sz w:val="48"/>
          <w:szCs w:val="48"/>
        </w:rPr>
        <w:t>技</w:t>
      </w:r>
    </w:p>
    <w:p w14:paraId="4AF9F79F">
      <w:pPr>
        <w:spacing w:line="360" w:lineRule="auto"/>
        <w:jc w:val="center"/>
        <w:rPr>
          <w:rFonts w:ascii="宋体"/>
          <w:b/>
          <w:sz w:val="48"/>
          <w:szCs w:val="48"/>
        </w:rPr>
      </w:pPr>
      <w:r>
        <w:rPr>
          <w:rFonts w:hint="eastAsia" w:ascii="宋体"/>
          <w:b/>
          <w:sz w:val="48"/>
          <w:szCs w:val="48"/>
        </w:rPr>
        <w:t>术</w:t>
      </w:r>
    </w:p>
    <w:p w14:paraId="1AED3D38">
      <w:pPr>
        <w:spacing w:line="360" w:lineRule="auto"/>
        <w:jc w:val="center"/>
        <w:rPr>
          <w:rFonts w:hint="eastAsia" w:ascii="宋体"/>
          <w:b/>
          <w:sz w:val="48"/>
          <w:szCs w:val="48"/>
          <w:lang w:val="en-US" w:eastAsia="zh-CN"/>
        </w:rPr>
      </w:pPr>
      <w:r>
        <w:rPr>
          <w:rFonts w:hint="eastAsia" w:ascii="宋体"/>
          <w:b/>
          <w:sz w:val="48"/>
          <w:szCs w:val="48"/>
          <w:lang w:val="en-US" w:eastAsia="zh-CN"/>
        </w:rPr>
        <w:t>规</w:t>
      </w:r>
    </w:p>
    <w:p w14:paraId="1E98E8B4">
      <w:pPr>
        <w:spacing w:line="360" w:lineRule="auto"/>
        <w:jc w:val="center"/>
        <w:rPr>
          <w:rFonts w:hint="eastAsia" w:ascii="宋体"/>
          <w:b/>
          <w:sz w:val="48"/>
          <w:szCs w:val="48"/>
          <w:lang w:val="en-US" w:eastAsia="zh-CN"/>
        </w:rPr>
      </w:pPr>
      <w:r>
        <w:rPr>
          <w:rFonts w:hint="eastAsia" w:ascii="宋体"/>
          <w:b/>
          <w:sz w:val="48"/>
          <w:szCs w:val="48"/>
          <w:lang w:val="en-US" w:eastAsia="zh-CN"/>
        </w:rPr>
        <w:t>范</w:t>
      </w:r>
    </w:p>
    <w:p w14:paraId="308C810A">
      <w:pPr>
        <w:spacing w:line="360" w:lineRule="auto"/>
        <w:jc w:val="center"/>
        <w:rPr>
          <w:rFonts w:ascii="宋体"/>
          <w:b/>
          <w:sz w:val="48"/>
          <w:szCs w:val="48"/>
        </w:rPr>
      </w:pPr>
      <w:r>
        <w:rPr>
          <w:rFonts w:hint="eastAsia" w:ascii="宋体"/>
          <w:b/>
          <w:sz w:val="48"/>
          <w:szCs w:val="48"/>
          <w:lang w:val="en-US" w:eastAsia="zh-CN"/>
        </w:rPr>
        <w:t>书</w:t>
      </w:r>
    </w:p>
    <w:p w14:paraId="5D7700F0">
      <w:pPr>
        <w:jc w:val="center"/>
        <w:rPr>
          <w:rFonts w:hint="eastAsia" w:ascii="宋体" w:hAnsi="宋体"/>
          <w:b/>
          <w:sz w:val="48"/>
          <w:szCs w:val="48"/>
        </w:rPr>
      </w:pPr>
    </w:p>
    <w:p w14:paraId="7D2FD3DC">
      <w:pPr>
        <w:jc w:val="center"/>
        <w:rPr>
          <w:rFonts w:hint="eastAsia" w:ascii="宋体" w:hAnsi="宋体" w:cs="宋体"/>
          <w:sz w:val="22"/>
          <w:szCs w:val="22"/>
        </w:rPr>
      </w:pPr>
    </w:p>
    <w:p w14:paraId="1EB53D2F">
      <w:pPr>
        <w:spacing w:line="360" w:lineRule="auto"/>
        <w:jc w:val="center"/>
        <w:rPr>
          <w:rFonts w:ascii="方正小标宋简体" w:eastAsia="方正小标宋简体"/>
          <w:sz w:val="72"/>
          <w:szCs w:val="72"/>
        </w:rPr>
      </w:pPr>
    </w:p>
    <w:p w14:paraId="15F8BE2A">
      <w:pPr>
        <w:spacing w:line="360" w:lineRule="auto"/>
        <w:jc w:val="center"/>
        <w:rPr>
          <w:rFonts w:ascii="方正小标宋简体" w:eastAsia="方正小标宋简体"/>
          <w:sz w:val="72"/>
          <w:szCs w:val="72"/>
        </w:rPr>
      </w:pPr>
      <w:r>
        <w:rPr>
          <w:rFonts w:hint="eastAsia" w:ascii="方正小标宋简体" w:eastAsia="方正小标宋简体"/>
          <w:sz w:val="72"/>
          <w:szCs w:val="72"/>
        </w:rPr>
        <w:t>招标文件</w:t>
      </w:r>
    </w:p>
    <w:p w14:paraId="1D5C6152">
      <w:pPr>
        <w:pStyle w:val="55"/>
        <w:spacing w:before="560" w:after="560" w:line="240" w:lineRule="auto"/>
        <w:rPr>
          <w:rFonts w:hint="eastAsia" w:asciiTheme="minorEastAsia" w:hAnsiTheme="minorEastAsia" w:eastAsiaTheme="minorEastAsia"/>
          <w:b/>
          <w:sz w:val="36"/>
          <w:szCs w:val="36"/>
        </w:rPr>
        <w:sectPr>
          <w:pgSz w:w="11906" w:h="16838"/>
          <w:pgMar w:top="1440" w:right="1800" w:bottom="1440" w:left="1800" w:header="851" w:footer="992" w:gutter="0"/>
          <w:cols w:space="720" w:num="1"/>
          <w:docGrid w:type="lines" w:linePitch="312" w:charSpace="0"/>
        </w:sectPr>
      </w:pPr>
      <w:r>
        <w:rPr>
          <w:rFonts w:hint="eastAsia" w:asciiTheme="minorEastAsia" w:hAnsiTheme="minorEastAsia" w:eastAsiaTheme="minorEastAsia"/>
          <w:b/>
          <w:sz w:val="36"/>
          <w:szCs w:val="36"/>
        </w:rPr>
        <w:t>2025年3月</w:t>
      </w:r>
    </w:p>
    <w:p w14:paraId="65DDBE4C">
      <w:pPr>
        <w:pStyle w:val="222"/>
        <w:jc w:val="center"/>
        <w:rPr>
          <w:rFonts w:hint="eastAsia" w:asciiTheme="minorEastAsia" w:hAnsiTheme="minorEastAsia" w:eastAsiaTheme="minorEastAsia"/>
          <w:b w:val="0"/>
          <w:sz w:val="36"/>
          <w:szCs w:val="36"/>
        </w:rPr>
      </w:pPr>
      <w:r>
        <w:rPr>
          <w:rFonts w:hint="eastAsia" w:asciiTheme="minorEastAsia" w:hAnsiTheme="minorEastAsia" w:eastAsiaTheme="minorEastAsia"/>
          <w:b w:val="0"/>
          <w:sz w:val="36"/>
          <w:szCs w:val="36"/>
        </w:rPr>
        <w:t>目  录</w:t>
      </w:r>
    </w:p>
    <w:sdt>
      <w:sdtPr>
        <w:rPr>
          <w:lang w:val="zh-CN"/>
        </w:rPr>
        <w:id w:val="26966365"/>
      </w:sdtPr>
      <w:sdtEndPr>
        <w:rPr>
          <w:lang w:val="zh-CN"/>
        </w:rPr>
      </w:sdtEndPr>
      <w:sdtContent>
        <w:p w14:paraId="2679BEDB">
          <w:pPr>
            <w:widowControl/>
            <w:jc w:val="center"/>
          </w:pPr>
        </w:p>
        <w:p w14:paraId="2AD267E0">
          <w:pPr>
            <w:pStyle w:val="28"/>
            <w:tabs>
              <w:tab w:val="right" w:leader="dot" w:pos="8296"/>
            </w:tabs>
            <w:ind w:firstLine="420"/>
            <w:rPr>
              <w:rFonts w:asciiTheme="minorHAnsi" w:hAnsiTheme="minorHAnsi" w:eastAsiaTheme="minorEastAsia" w:cstheme="minorBidi"/>
              <w:b w:val="0"/>
              <w:bCs w:val="0"/>
              <w:caps w:val="0"/>
              <w:sz w:val="21"/>
              <w:szCs w:val="22"/>
            </w:rPr>
          </w:pPr>
          <w:r>
            <w:rPr>
              <w:b w:val="0"/>
              <w:sz w:val="21"/>
              <w:szCs w:val="21"/>
            </w:rPr>
            <w:fldChar w:fldCharType="begin"/>
          </w:r>
          <w:r>
            <w:rPr>
              <w:b w:val="0"/>
              <w:sz w:val="21"/>
              <w:szCs w:val="21"/>
            </w:rPr>
            <w:instrText xml:space="preserve"> TOC \o "1-3" \h \z \u </w:instrText>
          </w:r>
          <w:r>
            <w:rPr>
              <w:b w:val="0"/>
              <w:sz w:val="21"/>
              <w:szCs w:val="21"/>
            </w:rPr>
            <w:fldChar w:fldCharType="separate"/>
          </w:r>
          <w:r>
            <w:fldChar w:fldCharType="begin"/>
          </w:r>
          <w:r>
            <w:instrText xml:space="preserve"> HYPERLINK \l "_Toc438720041" </w:instrText>
          </w:r>
          <w:r>
            <w:fldChar w:fldCharType="separate"/>
          </w:r>
          <w:r>
            <w:rPr>
              <w:rStyle w:val="43"/>
            </w:rPr>
            <w:t>1</w:t>
          </w:r>
          <w:r>
            <w:rPr>
              <w:rStyle w:val="43"/>
              <w:rFonts w:hint="eastAsia"/>
            </w:rPr>
            <w:t>　范围</w:t>
          </w:r>
          <w:r>
            <w:tab/>
          </w:r>
          <w:r>
            <w:fldChar w:fldCharType="begin"/>
          </w:r>
          <w:r>
            <w:instrText xml:space="preserve"> PAGEREF _Toc438720041 \h </w:instrText>
          </w:r>
          <w:r>
            <w:fldChar w:fldCharType="separate"/>
          </w:r>
          <w:r>
            <w:t>3</w:t>
          </w:r>
          <w:r>
            <w:fldChar w:fldCharType="end"/>
          </w:r>
          <w:r>
            <w:fldChar w:fldCharType="end"/>
          </w:r>
        </w:p>
        <w:p w14:paraId="69183C54">
          <w:pPr>
            <w:pStyle w:val="28"/>
            <w:tabs>
              <w:tab w:val="right" w:leader="dot" w:pos="8296"/>
            </w:tabs>
            <w:ind w:firstLine="402"/>
            <w:rPr>
              <w:rFonts w:asciiTheme="minorHAnsi" w:hAnsiTheme="minorHAnsi" w:eastAsiaTheme="minorEastAsia" w:cstheme="minorBidi"/>
              <w:b w:val="0"/>
              <w:bCs w:val="0"/>
              <w:caps w:val="0"/>
              <w:sz w:val="21"/>
              <w:szCs w:val="22"/>
            </w:rPr>
          </w:pPr>
          <w:r>
            <w:fldChar w:fldCharType="begin"/>
          </w:r>
          <w:r>
            <w:instrText xml:space="preserve"> HYPERLINK \l "_Toc438720042" </w:instrText>
          </w:r>
          <w:r>
            <w:fldChar w:fldCharType="separate"/>
          </w:r>
          <w:r>
            <w:rPr>
              <w:rStyle w:val="43"/>
            </w:rPr>
            <w:t>2</w:t>
          </w:r>
          <w:r>
            <w:rPr>
              <w:rStyle w:val="43"/>
              <w:rFonts w:hint="eastAsia"/>
            </w:rPr>
            <w:t>　规范性引用文件</w:t>
          </w:r>
          <w:r>
            <w:tab/>
          </w:r>
          <w:r>
            <w:fldChar w:fldCharType="begin"/>
          </w:r>
          <w:r>
            <w:instrText xml:space="preserve"> PAGEREF _Toc438720042 \h </w:instrText>
          </w:r>
          <w:r>
            <w:fldChar w:fldCharType="separate"/>
          </w:r>
          <w:r>
            <w:t>3</w:t>
          </w:r>
          <w:r>
            <w:fldChar w:fldCharType="end"/>
          </w:r>
          <w:r>
            <w:fldChar w:fldCharType="end"/>
          </w:r>
        </w:p>
        <w:p w14:paraId="1278ED38">
          <w:pPr>
            <w:pStyle w:val="28"/>
            <w:tabs>
              <w:tab w:val="right" w:leader="dot" w:pos="8296"/>
            </w:tabs>
            <w:ind w:firstLine="402"/>
            <w:rPr>
              <w:rFonts w:asciiTheme="minorHAnsi" w:hAnsiTheme="minorHAnsi" w:eastAsiaTheme="minorEastAsia" w:cstheme="minorBidi"/>
              <w:b w:val="0"/>
              <w:bCs w:val="0"/>
              <w:caps w:val="0"/>
              <w:sz w:val="21"/>
              <w:szCs w:val="22"/>
            </w:rPr>
          </w:pPr>
          <w:r>
            <w:fldChar w:fldCharType="begin"/>
          </w:r>
          <w:r>
            <w:instrText xml:space="preserve"> HYPERLINK \l "_Toc438720043" </w:instrText>
          </w:r>
          <w:r>
            <w:fldChar w:fldCharType="separate"/>
          </w:r>
          <w:r>
            <w:rPr>
              <w:rStyle w:val="43"/>
            </w:rPr>
            <w:t>3</w:t>
          </w:r>
          <w:r>
            <w:rPr>
              <w:rStyle w:val="43"/>
              <w:rFonts w:hint="eastAsia"/>
            </w:rPr>
            <w:t>　术语和定义</w:t>
          </w:r>
          <w:r>
            <w:tab/>
          </w:r>
          <w:r>
            <w:fldChar w:fldCharType="begin"/>
          </w:r>
          <w:r>
            <w:instrText xml:space="preserve"> PAGEREF _Toc438720043 \h </w:instrText>
          </w:r>
          <w:r>
            <w:fldChar w:fldCharType="separate"/>
          </w:r>
          <w:r>
            <w:t>3</w:t>
          </w:r>
          <w:r>
            <w:fldChar w:fldCharType="end"/>
          </w:r>
          <w:r>
            <w:fldChar w:fldCharType="end"/>
          </w:r>
        </w:p>
        <w:p w14:paraId="49664CD2">
          <w:pPr>
            <w:pStyle w:val="28"/>
            <w:tabs>
              <w:tab w:val="right" w:leader="dot" w:pos="8296"/>
            </w:tabs>
            <w:ind w:firstLine="402"/>
            <w:rPr>
              <w:rFonts w:asciiTheme="minorHAnsi" w:hAnsiTheme="minorHAnsi" w:eastAsiaTheme="minorEastAsia" w:cstheme="minorBidi"/>
              <w:b w:val="0"/>
              <w:bCs w:val="0"/>
              <w:caps w:val="0"/>
              <w:sz w:val="21"/>
              <w:szCs w:val="22"/>
            </w:rPr>
          </w:pPr>
          <w:r>
            <w:fldChar w:fldCharType="begin"/>
          </w:r>
          <w:r>
            <w:instrText xml:space="preserve"> HYPERLINK \l "_Toc438720044" </w:instrText>
          </w:r>
          <w:r>
            <w:fldChar w:fldCharType="separate"/>
          </w:r>
          <w:r>
            <w:rPr>
              <w:rStyle w:val="43"/>
            </w:rPr>
            <w:t>4</w:t>
          </w:r>
          <w:r>
            <w:rPr>
              <w:rStyle w:val="43"/>
              <w:rFonts w:hint="eastAsia"/>
            </w:rPr>
            <w:t>　总则</w:t>
          </w:r>
          <w:r>
            <w:tab/>
          </w:r>
          <w:r>
            <w:fldChar w:fldCharType="begin"/>
          </w:r>
          <w:r>
            <w:instrText xml:space="preserve"> PAGEREF _Toc438720044 \h </w:instrText>
          </w:r>
          <w:r>
            <w:fldChar w:fldCharType="separate"/>
          </w:r>
          <w:r>
            <w:t>3</w:t>
          </w:r>
          <w:r>
            <w:fldChar w:fldCharType="end"/>
          </w:r>
          <w:r>
            <w:fldChar w:fldCharType="end"/>
          </w:r>
        </w:p>
        <w:p w14:paraId="5AACF2D2">
          <w:pPr>
            <w:pStyle w:val="28"/>
            <w:tabs>
              <w:tab w:val="right" w:leader="dot" w:pos="8296"/>
            </w:tabs>
            <w:ind w:firstLine="402"/>
            <w:rPr>
              <w:rFonts w:asciiTheme="minorHAnsi" w:hAnsiTheme="minorHAnsi" w:eastAsiaTheme="minorEastAsia" w:cstheme="minorBidi"/>
              <w:b w:val="0"/>
              <w:bCs w:val="0"/>
              <w:caps w:val="0"/>
              <w:sz w:val="21"/>
              <w:szCs w:val="22"/>
            </w:rPr>
          </w:pPr>
          <w:r>
            <w:fldChar w:fldCharType="begin"/>
          </w:r>
          <w:r>
            <w:instrText xml:space="preserve"> HYPERLINK \l "_Toc438720045" </w:instrText>
          </w:r>
          <w:r>
            <w:fldChar w:fldCharType="separate"/>
          </w:r>
          <w:r>
            <w:rPr>
              <w:rStyle w:val="43"/>
            </w:rPr>
            <w:t>5</w:t>
          </w:r>
          <w:r>
            <w:rPr>
              <w:rStyle w:val="43"/>
              <w:rFonts w:hint="eastAsia"/>
            </w:rPr>
            <w:t>　技术参数和性能要求</w:t>
          </w:r>
          <w:r>
            <w:tab/>
          </w:r>
          <w:r>
            <w:fldChar w:fldCharType="begin"/>
          </w:r>
          <w:r>
            <w:instrText xml:space="preserve"> PAGEREF _Toc438720045 \h </w:instrText>
          </w:r>
          <w:r>
            <w:fldChar w:fldCharType="separate"/>
          </w:r>
          <w:r>
            <w:t>4</w:t>
          </w:r>
          <w:r>
            <w:fldChar w:fldCharType="end"/>
          </w:r>
          <w:r>
            <w:fldChar w:fldCharType="end"/>
          </w:r>
        </w:p>
        <w:p w14:paraId="43D6370C">
          <w:pPr>
            <w:pStyle w:val="28"/>
            <w:tabs>
              <w:tab w:val="right" w:leader="dot" w:pos="8296"/>
            </w:tabs>
            <w:ind w:firstLine="402"/>
            <w:rPr>
              <w:rFonts w:asciiTheme="minorHAnsi" w:hAnsiTheme="minorHAnsi" w:eastAsiaTheme="minorEastAsia" w:cstheme="minorBidi"/>
              <w:b w:val="0"/>
              <w:bCs w:val="0"/>
              <w:caps w:val="0"/>
              <w:sz w:val="21"/>
              <w:szCs w:val="22"/>
            </w:rPr>
          </w:pPr>
          <w:r>
            <w:fldChar w:fldCharType="begin"/>
          </w:r>
          <w:r>
            <w:instrText xml:space="preserve"> HYPERLINK \l "_Toc438720046" </w:instrText>
          </w:r>
          <w:r>
            <w:fldChar w:fldCharType="separate"/>
          </w:r>
          <w:r>
            <w:rPr>
              <w:rStyle w:val="43"/>
            </w:rPr>
            <w:t>6</w:t>
          </w:r>
          <w:r>
            <w:rPr>
              <w:rStyle w:val="43"/>
              <w:rFonts w:hint="eastAsia"/>
            </w:rPr>
            <w:t>　试验</w:t>
          </w:r>
          <w:r>
            <w:tab/>
          </w:r>
          <w:r>
            <w:fldChar w:fldCharType="begin"/>
          </w:r>
          <w:r>
            <w:instrText xml:space="preserve"> PAGEREF _Toc438720046 \h </w:instrText>
          </w:r>
          <w:r>
            <w:fldChar w:fldCharType="separate"/>
          </w:r>
          <w:r>
            <w:t>7</w:t>
          </w:r>
          <w:r>
            <w:fldChar w:fldCharType="end"/>
          </w:r>
          <w:r>
            <w:fldChar w:fldCharType="end"/>
          </w:r>
        </w:p>
        <w:p w14:paraId="2B32205C">
          <w:pPr>
            <w:pStyle w:val="28"/>
            <w:tabs>
              <w:tab w:val="right" w:leader="dot" w:pos="8296"/>
            </w:tabs>
            <w:ind w:firstLine="402"/>
            <w:rPr>
              <w:rFonts w:asciiTheme="minorHAnsi" w:hAnsiTheme="minorHAnsi" w:eastAsiaTheme="minorEastAsia" w:cstheme="minorBidi"/>
              <w:b w:val="0"/>
              <w:bCs w:val="0"/>
              <w:caps w:val="0"/>
              <w:sz w:val="21"/>
              <w:szCs w:val="22"/>
            </w:rPr>
          </w:pPr>
          <w:r>
            <w:fldChar w:fldCharType="begin"/>
          </w:r>
          <w:r>
            <w:instrText xml:space="preserve"> HYPERLINK \l "_Toc438720047" </w:instrText>
          </w:r>
          <w:r>
            <w:fldChar w:fldCharType="separate"/>
          </w:r>
          <w:r>
            <w:rPr>
              <w:rStyle w:val="43"/>
            </w:rPr>
            <w:t>7</w:t>
          </w:r>
          <w:r>
            <w:rPr>
              <w:rStyle w:val="43"/>
              <w:rFonts w:hint="eastAsia"/>
            </w:rPr>
            <w:t>　技术服务、工厂检验</w:t>
          </w:r>
          <w:r>
            <w:tab/>
          </w:r>
          <w:r>
            <w:fldChar w:fldCharType="begin"/>
          </w:r>
          <w:r>
            <w:instrText xml:space="preserve"> PAGEREF _Toc438720047 \h </w:instrText>
          </w:r>
          <w:r>
            <w:fldChar w:fldCharType="separate"/>
          </w:r>
          <w:r>
            <w:t>7</w:t>
          </w:r>
          <w:r>
            <w:fldChar w:fldCharType="end"/>
          </w:r>
          <w:r>
            <w:fldChar w:fldCharType="end"/>
          </w:r>
        </w:p>
        <w:p w14:paraId="15DE5D37">
          <w:pPr>
            <w:pStyle w:val="28"/>
            <w:tabs>
              <w:tab w:val="right" w:leader="dot" w:pos="8296"/>
            </w:tabs>
            <w:ind w:firstLine="402"/>
            <w:rPr>
              <w:rFonts w:asciiTheme="minorHAnsi" w:hAnsiTheme="minorHAnsi" w:eastAsiaTheme="minorEastAsia" w:cstheme="minorBidi"/>
              <w:b w:val="0"/>
              <w:bCs w:val="0"/>
              <w:caps w:val="0"/>
              <w:sz w:val="21"/>
              <w:szCs w:val="22"/>
            </w:rPr>
          </w:pPr>
          <w:r>
            <w:fldChar w:fldCharType="begin"/>
          </w:r>
          <w:r>
            <w:instrText xml:space="preserve"> HYPERLINK \l "_Toc438720048" </w:instrText>
          </w:r>
          <w:r>
            <w:fldChar w:fldCharType="separate"/>
          </w:r>
          <w:r>
            <w:rPr>
              <w:rStyle w:val="43"/>
            </w:rPr>
            <w:t>8</w:t>
          </w:r>
          <w:r>
            <w:rPr>
              <w:rStyle w:val="43"/>
              <w:rFonts w:hint="eastAsia"/>
            </w:rPr>
            <w:t>　报价表</w:t>
          </w:r>
          <w:r>
            <w:tab/>
          </w:r>
          <w:r>
            <w:fldChar w:fldCharType="begin"/>
          </w:r>
          <w:r>
            <w:instrText xml:space="preserve"> PAGEREF _Toc438720048 \h </w:instrText>
          </w:r>
          <w:r>
            <w:fldChar w:fldCharType="separate"/>
          </w:r>
          <w:r>
            <w:t>8</w:t>
          </w:r>
          <w:r>
            <w:fldChar w:fldCharType="end"/>
          </w:r>
          <w:r>
            <w:fldChar w:fldCharType="end"/>
          </w:r>
        </w:p>
        <w:p w14:paraId="592D2A45">
          <w:pPr>
            <w:adjustRightInd w:val="0"/>
            <w:snapToGrid w:val="0"/>
          </w:pPr>
          <w:r>
            <w:rPr>
              <w:szCs w:val="21"/>
            </w:rPr>
            <w:fldChar w:fldCharType="end"/>
          </w:r>
        </w:p>
      </w:sdtContent>
    </w:sdt>
    <w:p w14:paraId="3C5FBC2B">
      <w:pPr>
        <w:widowControl/>
        <w:jc w:val="center"/>
        <w:rPr>
          <w:rFonts w:hint="eastAsia" w:asciiTheme="minorEastAsia" w:hAnsiTheme="minorEastAsia" w:eastAsiaTheme="minorEastAsia"/>
          <w:b/>
          <w:sz w:val="36"/>
          <w:szCs w:val="36"/>
        </w:rPr>
      </w:pPr>
    </w:p>
    <w:p w14:paraId="345CAC76">
      <w:pPr>
        <w:widowControl/>
        <w:jc w:val="left"/>
        <w:rPr>
          <w:rFonts w:eastAsia="黑体"/>
          <w:kern w:val="0"/>
          <w:sz w:val="32"/>
          <w:szCs w:val="20"/>
        </w:rPr>
        <w:sectPr>
          <w:pgSz w:w="11906" w:h="16838"/>
          <w:pgMar w:top="1440" w:right="1800" w:bottom="1440" w:left="1800" w:header="851" w:footer="992" w:gutter="0"/>
          <w:cols w:space="720" w:num="1"/>
          <w:docGrid w:type="lines" w:linePitch="312" w:charSpace="0"/>
        </w:sectPr>
      </w:pPr>
    </w:p>
    <w:p w14:paraId="5B73628D">
      <w:pPr>
        <w:pStyle w:val="60"/>
        <w:outlineLvl w:val="0"/>
      </w:pPr>
      <w:bookmarkStart w:id="0" w:name="_Toc438720041"/>
      <w:bookmarkStart w:id="1" w:name="_Toc355884468"/>
      <w:bookmarkStart w:id="2" w:name="_Toc396866892"/>
      <w:bookmarkStart w:id="3" w:name="_Toc344384427"/>
      <w:r>
        <w:rPr>
          <w:rFonts w:hint="eastAsia"/>
        </w:rPr>
        <w:t>1　范围</w:t>
      </w:r>
      <w:bookmarkEnd w:id="0"/>
      <w:bookmarkEnd w:id="1"/>
      <w:bookmarkEnd w:id="2"/>
      <w:bookmarkEnd w:id="3"/>
    </w:p>
    <w:p w14:paraId="532B684F">
      <w:pPr>
        <w:topLinePunct/>
        <w:spacing w:line="326" w:lineRule="exact"/>
        <w:ind w:firstLine="420"/>
        <w:rPr>
          <w:snapToGrid w:val="0"/>
          <w:szCs w:val="21"/>
        </w:rPr>
      </w:pPr>
      <w:r>
        <w:rPr>
          <w:rFonts w:hint="eastAsia"/>
          <w:snapToGrid w:val="0"/>
          <w:szCs w:val="21"/>
        </w:rPr>
        <w:t>本部分规定了</w:t>
      </w:r>
      <w:r>
        <w:rPr>
          <w:rFonts w:hint="eastAsia"/>
        </w:rPr>
        <w:t>纸包铜扁线</w:t>
      </w:r>
      <w:r>
        <w:rPr>
          <w:rFonts w:hint="eastAsia"/>
          <w:snapToGrid w:val="0"/>
          <w:szCs w:val="21"/>
        </w:rPr>
        <w:t>招标的总则、技术参数和性能要求、试验、包装、运输、交货及工厂检验和监造的一般要求。</w:t>
      </w:r>
    </w:p>
    <w:p w14:paraId="03E183EF">
      <w:pPr>
        <w:topLinePunct/>
        <w:spacing w:line="326" w:lineRule="exact"/>
        <w:ind w:firstLine="420"/>
        <w:rPr>
          <w:snapToGrid w:val="0"/>
          <w:szCs w:val="21"/>
        </w:rPr>
      </w:pPr>
      <w:r>
        <w:rPr>
          <w:rFonts w:hint="eastAsia"/>
          <w:snapToGrid w:val="0"/>
          <w:szCs w:val="21"/>
        </w:rPr>
        <w:t>本部分适用于</w:t>
      </w:r>
      <w:r>
        <w:rPr>
          <w:rFonts w:hint="eastAsia"/>
        </w:rPr>
        <w:t>纸包铜扁线</w:t>
      </w:r>
      <w:r>
        <w:rPr>
          <w:rFonts w:hint="eastAsia"/>
          <w:snapToGrid w:val="0"/>
          <w:szCs w:val="21"/>
        </w:rPr>
        <w:t>的招标。</w:t>
      </w:r>
    </w:p>
    <w:p w14:paraId="68A15B85">
      <w:pPr>
        <w:pStyle w:val="60"/>
        <w:outlineLvl w:val="0"/>
      </w:pPr>
      <w:bookmarkStart w:id="4" w:name="_Toc438720042"/>
      <w:r>
        <w:rPr>
          <w:rFonts w:hint="eastAsia"/>
        </w:rPr>
        <w:t>2　规范性引用文件</w:t>
      </w:r>
      <w:bookmarkEnd w:id="4"/>
    </w:p>
    <w:p w14:paraId="541EEA4A">
      <w:pPr>
        <w:topLinePunct/>
        <w:spacing w:line="326" w:lineRule="exact"/>
        <w:ind w:firstLine="420"/>
        <w:rPr>
          <w:snapToGrid w:val="0"/>
          <w:szCs w:val="21"/>
        </w:rPr>
      </w:pPr>
      <w:r>
        <w:rPr>
          <w:rFonts w:hint="eastAsia"/>
          <w:snapToGrid w:val="0"/>
          <w:szCs w:val="21"/>
        </w:rPr>
        <w:t>下列文件对于本文件的应用是必不可少的。凡是注日期的引用文件，仅注日期的版本适用于本文件。凡是不注日期的引用文件，其最新版本（包括所有的修改单）适用于本文件。</w:t>
      </w:r>
    </w:p>
    <w:p w14:paraId="6F253DBE">
      <w:pPr>
        <w:topLinePunct/>
        <w:spacing w:line="326" w:lineRule="exact"/>
        <w:ind w:firstLine="420"/>
        <w:rPr>
          <w:snapToGrid w:val="0"/>
          <w:szCs w:val="21"/>
        </w:rPr>
      </w:pPr>
      <w:r>
        <w:rPr>
          <w:rFonts w:eastAsia="仿宋"/>
          <w:spacing w:val="-5"/>
        </w:rPr>
        <w:t>GB/T7</w:t>
      </w:r>
      <w:r>
        <w:rPr>
          <w:rFonts w:hint="eastAsia" w:eastAsia="仿宋"/>
          <w:spacing w:val="-5"/>
        </w:rPr>
        <w:t>673</w:t>
      </w:r>
      <w:r>
        <w:rPr>
          <w:rFonts w:eastAsia="仿宋"/>
          <w:spacing w:val="-5"/>
        </w:rPr>
        <w:t>.</w:t>
      </w:r>
      <w:r>
        <w:rPr>
          <w:rFonts w:hint="eastAsia" w:eastAsia="仿宋"/>
          <w:spacing w:val="-5"/>
        </w:rPr>
        <w:t>3</w:t>
      </w:r>
      <w:r>
        <w:rPr>
          <w:rFonts w:hint="eastAsia"/>
          <w:snapToGrid w:val="0"/>
          <w:szCs w:val="21"/>
        </w:rPr>
        <w:t xml:space="preserve">        《纸包绕组线 第3部分：纸包铜扁线》</w:t>
      </w:r>
    </w:p>
    <w:p w14:paraId="75EA9D3E">
      <w:pPr>
        <w:topLinePunct/>
        <w:spacing w:line="326" w:lineRule="exact"/>
        <w:ind w:firstLine="420"/>
        <w:rPr>
          <w:snapToGrid w:val="0"/>
          <w:szCs w:val="21"/>
        </w:rPr>
      </w:pPr>
      <w:r>
        <w:rPr>
          <w:rFonts w:eastAsia="仿宋"/>
          <w:spacing w:val="-5"/>
        </w:rPr>
        <w:t>GB/T7</w:t>
      </w:r>
      <w:r>
        <w:rPr>
          <w:rFonts w:hint="eastAsia" w:eastAsia="仿宋"/>
          <w:spacing w:val="-5"/>
        </w:rPr>
        <w:t>095.1</w:t>
      </w:r>
      <w:r>
        <w:rPr>
          <w:rFonts w:hint="eastAsia"/>
          <w:snapToGrid w:val="0"/>
          <w:szCs w:val="21"/>
        </w:rPr>
        <w:t xml:space="preserve">        《漆包铜扁绕组线 第1部分：一般规定》</w:t>
      </w:r>
    </w:p>
    <w:p w14:paraId="07C2D3B1">
      <w:pPr>
        <w:pStyle w:val="60"/>
        <w:outlineLvl w:val="0"/>
      </w:pPr>
      <w:bookmarkStart w:id="5" w:name="_Toc438720043"/>
      <w:r>
        <w:rPr>
          <w:rFonts w:hint="eastAsia"/>
        </w:rPr>
        <w:t>3　术语和定义</w:t>
      </w:r>
      <w:bookmarkEnd w:id="5"/>
    </w:p>
    <w:p w14:paraId="1110012F">
      <w:pPr>
        <w:topLinePunct/>
        <w:spacing w:line="326" w:lineRule="exact"/>
        <w:ind w:firstLine="420"/>
        <w:rPr>
          <w:snapToGrid w:val="0"/>
          <w:szCs w:val="21"/>
        </w:rPr>
      </w:pPr>
      <w:r>
        <w:rPr>
          <w:rFonts w:hint="eastAsia"/>
          <w:snapToGrid w:val="0"/>
          <w:szCs w:val="21"/>
        </w:rPr>
        <w:t>下列术语和定义适用于本文件。</w:t>
      </w:r>
    </w:p>
    <w:p w14:paraId="7692F621">
      <w:pPr>
        <w:topLinePunct/>
        <w:spacing w:line="326" w:lineRule="exact"/>
        <w:ind w:firstLine="420"/>
        <w:rPr>
          <w:snapToGrid w:val="0"/>
          <w:szCs w:val="21"/>
        </w:rPr>
      </w:pPr>
      <w:r>
        <w:rPr>
          <w:snapToGrid w:val="0"/>
          <w:szCs w:val="21"/>
        </w:rPr>
        <w:t>3.1</w:t>
      </w:r>
      <w:r>
        <w:rPr>
          <w:rFonts w:hint="eastAsia"/>
          <w:snapToGrid w:val="0"/>
          <w:szCs w:val="21"/>
        </w:rPr>
        <w:t>　</w:t>
      </w:r>
    </w:p>
    <w:p w14:paraId="081787AA">
      <w:pPr>
        <w:topLinePunct/>
        <w:spacing w:line="326" w:lineRule="exact"/>
        <w:ind w:firstLine="420"/>
        <w:rPr>
          <w:snapToGrid w:val="0"/>
          <w:szCs w:val="21"/>
        </w:rPr>
      </w:pPr>
      <w:r>
        <w:rPr>
          <w:rFonts w:hint="eastAsia"/>
          <w:snapToGrid w:val="0"/>
          <w:szCs w:val="21"/>
        </w:rPr>
        <w:t>招标人　</w:t>
      </w:r>
      <w:r>
        <w:rPr>
          <w:snapToGrid w:val="0"/>
          <w:szCs w:val="21"/>
        </w:rPr>
        <w:t>bidder</w:t>
      </w:r>
    </w:p>
    <w:p w14:paraId="55A78029">
      <w:pPr>
        <w:topLinePunct/>
        <w:spacing w:line="326" w:lineRule="exact"/>
        <w:ind w:firstLine="420"/>
        <w:rPr>
          <w:snapToGrid w:val="0"/>
          <w:szCs w:val="21"/>
        </w:rPr>
      </w:pPr>
      <w:r>
        <w:rPr>
          <w:rFonts w:hint="eastAsia"/>
          <w:snapToGrid w:val="0"/>
          <w:szCs w:val="21"/>
        </w:rPr>
        <w:t>提出招标项目，进行招标的法人或其他组织。</w:t>
      </w:r>
    </w:p>
    <w:p w14:paraId="0CB83916">
      <w:pPr>
        <w:topLinePunct/>
        <w:spacing w:line="326" w:lineRule="exact"/>
        <w:ind w:firstLine="420"/>
        <w:rPr>
          <w:snapToGrid w:val="0"/>
          <w:szCs w:val="21"/>
        </w:rPr>
      </w:pPr>
      <w:r>
        <w:rPr>
          <w:snapToGrid w:val="0"/>
          <w:szCs w:val="21"/>
        </w:rPr>
        <w:t>3.2</w:t>
      </w:r>
      <w:r>
        <w:rPr>
          <w:rFonts w:hint="eastAsia"/>
          <w:snapToGrid w:val="0"/>
          <w:szCs w:val="21"/>
        </w:rPr>
        <w:t>　</w:t>
      </w:r>
    </w:p>
    <w:p w14:paraId="23D2F5F3">
      <w:pPr>
        <w:topLinePunct/>
        <w:spacing w:line="326" w:lineRule="exact"/>
        <w:ind w:firstLine="420"/>
        <w:rPr>
          <w:snapToGrid w:val="0"/>
          <w:szCs w:val="21"/>
        </w:rPr>
      </w:pPr>
      <w:r>
        <w:rPr>
          <w:rFonts w:hint="eastAsia"/>
          <w:snapToGrid w:val="0"/>
          <w:szCs w:val="21"/>
        </w:rPr>
        <w:t>投标人　</w:t>
      </w:r>
      <w:r>
        <w:rPr>
          <w:snapToGrid w:val="0"/>
          <w:szCs w:val="21"/>
        </w:rPr>
        <w:t>tenderer</w:t>
      </w:r>
    </w:p>
    <w:p w14:paraId="6092A74A">
      <w:pPr>
        <w:topLinePunct/>
        <w:spacing w:line="326" w:lineRule="exact"/>
        <w:ind w:firstLine="420"/>
        <w:rPr>
          <w:snapToGrid w:val="0"/>
          <w:szCs w:val="21"/>
        </w:rPr>
      </w:pPr>
      <w:r>
        <w:rPr>
          <w:rFonts w:hint="eastAsia"/>
          <w:snapToGrid w:val="0"/>
          <w:szCs w:val="21"/>
        </w:rPr>
        <w:t>响应招标、参加投标竞争的法人或者其他组织。</w:t>
      </w:r>
    </w:p>
    <w:p w14:paraId="09AB863D">
      <w:pPr>
        <w:topLinePunct/>
        <w:spacing w:line="326" w:lineRule="exact"/>
        <w:ind w:firstLine="420"/>
        <w:rPr>
          <w:snapToGrid w:val="0"/>
          <w:szCs w:val="21"/>
        </w:rPr>
      </w:pPr>
      <w:r>
        <w:rPr>
          <w:snapToGrid w:val="0"/>
          <w:szCs w:val="21"/>
        </w:rPr>
        <w:t>3.3</w:t>
      </w:r>
      <w:r>
        <w:rPr>
          <w:rFonts w:hint="eastAsia"/>
          <w:snapToGrid w:val="0"/>
          <w:szCs w:val="21"/>
        </w:rPr>
        <w:t>　</w:t>
      </w:r>
    </w:p>
    <w:p w14:paraId="5767EC3F">
      <w:pPr>
        <w:topLinePunct/>
        <w:spacing w:line="326" w:lineRule="exact"/>
        <w:ind w:firstLine="420"/>
        <w:rPr>
          <w:snapToGrid w:val="0"/>
          <w:szCs w:val="21"/>
        </w:rPr>
      </w:pPr>
      <w:r>
        <w:rPr>
          <w:rFonts w:hint="eastAsia"/>
          <w:snapToGrid w:val="0"/>
          <w:szCs w:val="21"/>
        </w:rPr>
        <w:t>卖方（供方）</w:t>
      </w:r>
      <w:r>
        <w:rPr>
          <w:snapToGrid w:val="0"/>
          <w:szCs w:val="21"/>
        </w:rPr>
        <w:t xml:space="preserve"> seller (supplier)</w:t>
      </w:r>
    </w:p>
    <w:p w14:paraId="1C4A1775">
      <w:pPr>
        <w:topLinePunct/>
        <w:spacing w:line="326" w:lineRule="exact"/>
        <w:ind w:firstLine="420"/>
        <w:rPr>
          <w:snapToGrid w:val="0"/>
          <w:szCs w:val="21"/>
        </w:rPr>
      </w:pPr>
      <w:r>
        <w:rPr>
          <w:rFonts w:hint="eastAsia"/>
          <w:snapToGrid w:val="0"/>
          <w:szCs w:val="21"/>
        </w:rPr>
        <w:t>提供本部分货物和技术服务的法人或其他组织，包括其法定的承继者。</w:t>
      </w:r>
    </w:p>
    <w:p w14:paraId="6059690B">
      <w:pPr>
        <w:topLinePunct/>
        <w:spacing w:line="326" w:lineRule="exact"/>
        <w:ind w:firstLine="420"/>
        <w:rPr>
          <w:snapToGrid w:val="0"/>
          <w:szCs w:val="21"/>
        </w:rPr>
      </w:pPr>
      <w:r>
        <w:rPr>
          <w:snapToGrid w:val="0"/>
          <w:szCs w:val="21"/>
        </w:rPr>
        <w:t>3.4</w:t>
      </w:r>
    </w:p>
    <w:p w14:paraId="449494DF">
      <w:pPr>
        <w:topLinePunct/>
        <w:spacing w:line="326" w:lineRule="exact"/>
        <w:ind w:firstLine="420"/>
        <w:rPr>
          <w:snapToGrid w:val="0"/>
          <w:szCs w:val="21"/>
        </w:rPr>
      </w:pPr>
      <w:r>
        <w:rPr>
          <w:rFonts w:hint="eastAsia"/>
          <w:snapToGrid w:val="0"/>
          <w:szCs w:val="21"/>
        </w:rPr>
        <w:t>买方（需方）</w:t>
      </w:r>
      <w:r>
        <w:rPr>
          <w:snapToGrid w:val="0"/>
          <w:szCs w:val="21"/>
        </w:rPr>
        <w:t xml:space="preserve"> buyer (purchaser)</w:t>
      </w:r>
    </w:p>
    <w:p w14:paraId="15022FB8">
      <w:pPr>
        <w:topLinePunct/>
        <w:spacing w:line="326" w:lineRule="exact"/>
        <w:ind w:firstLine="420"/>
        <w:rPr>
          <w:snapToGrid w:val="0"/>
          <w:szCs w:val="21"/>
        </w:rPr>
      </w:pPr>
      <w:r>
        <w:rPr>
          <w:rFonts w:hint="eastAsia"/>
          <w:snapToGrid w:val="0"/>
          <w:szCs w:val="21"/>
        </w:rPr>
        <w:t>购买本部分货物和技术服务的法人或其他组织，包括其法定的承继者和经许可的受让人。</w:t>
      </w:r>
    </w:p>
    <w:p w14:paraId="454A6E05">
      <w:pPr>
        <w:pStyle w:val="60"/>
        <w:outlineLvl w:val="0"/>
      </w:pPr>
      <w:bookmarkStart w:id="6" w:name="_Toc438720044"/>
      <w:r>
        <w:rPr>
          <w:rFonts w:hint="eastAsia"/>
        </w:rPr>
        <w:t>4　总则</w:t>
      </w:r>
      <w:bookmarkEnd w:id="6"/>
    </w:p>
    <w:p w14:paraId="2F5E9BEA">
      <w:pPr>
        <w:pStyle w:val="59"/>
      </w:pPr>
      <w:r>
        <w:rPr>
          <w:rFonts w:hint="eastAsia"/>
        </w:rPr>
        <w:t>4</w:t>
      </w:r>
      <w:r>
        <w:rPr>
          <w:rFonts w:hint="eastAsia"/>
          <w:spacing w:val="20"/>
        </w:rPr>
        <w:t>.</w:t>
      </w:r>
      <w:r>
        <w:rPr>
          <w:rFonts w:hint="eastAsia"/>
        </w:rPr>
        <w:t>1　一般规定</w:t>
      </w:r>
    </w:p>
    <w:p w14:paraId="03B11D70">
      <w:pPr>
        <w:topLinePunct/>
        <w:spacing w:line="312" w:lineRule="exact"/>
        <w:rPr>
          <w:bCs/>
          <w:szCs w:val="21"/>
        </w:rPr>
      </w:pPr>
      <w:r>
        <w:rPr>
          <w:rFonts w:hint="eastAsia" w:ascii="EU-F1"/>
          <w:bCs/>
          <w:szCs w:val="21"/>
        </w:rPr>
        <w:t>4</w:t>
      </w:r>
      <w:r>
        <w:rPr>
          <w:rFonts w:hint="eastAsia" w:ascii="EU-F1"/>
          <w:bCs/>
          <w:spacing w:val="20"/>
          <w:szCs w:val="21"/>
        </w:rPr>
        <w:t>.</w:t>
      </w:r>
      <w:r>
        <w:rPr>
          <w:rFonts w:hint="eastAsia" w:ascii="EU-F1"/>
          <w:bCs/>
          <w:szCs w:val="21"/>
        </w:rPr>
        <w:t>1</w:t>
      </w:r>
      <w:r>
        <w:rPr>
          <w:rFonts w:hint="eastAsia" w:ascii="EU-F1"/>
          <w:bCs/>
          <w:spacing w:val="20"/>
          <w:szCs w:val="21"/>
        </w:rPr>
        <w:t>.</w:t>
      </w:r>
      <w:r>
        <w:rPr>
          <w:rFonts w:hint="eastAsia" w:ascii="EU-F1"/>
          <w:bCs/>
          <w:szCs w:val="21"/>
        </w:rPr>
        <w:t>1　</w:t>
      </w:r>
      <w:r>
        <w:rPr>
          <w:rFonts w:hint="eastAsia"/>
          <w:bCs/>
          <w:szCs w:val="21"/>
        </w:rPr>
        <w:t>投标人应具备招标公告所要求的资质，具体资质要求详见招标文件的商务部分。</w:t>
      </w:r>
    </w:p>
    <w:p w14:paraId="5AE3FC83">
      <w:pPr>
        <w:topLinePunct/>
        <w:spacing w:line="312" w:lineRule="exact"/>
        <w:rPr>
          <w:bCs/>
          <w:szCs w:val="21"/>
        </w:rPr>
      </w:pPr>
      <w:r>
        <w:rPr>
          <w:rFonts w:hint="eastAsia" w:ascii="EU-F1"/>
          <w:bCs/>
          <w:szCs w:val="21"/>
        </w:rPr>
        <w:t>4</w:t>
      </w:r>
      <w:r>
        <w:rPr>
          <w:rFonts w:hint="eastAsia" w:ascii="EU-F1"/>
          <w:bCs/>
          <w:spacing w:val="20"/>
          <w:szCs w:val="21"/>
        </w:rPr>
        <w:t>.</w:t>
      </w:r>
      <w:r>
        <w:rPr>
          <w:rFonts w:hint="eastAsia" w:ascii="EU-F1"/>
          <w:bCs/>
          <w:szCs w:val="21"/>
        </w:rPr>
        <w:t>1</w:t>
      </w:r>
      <w:r>
        <w:rPr>
          <w:rFonts w:hint="eastAsia" w:ascii="EU-F1"/>
          <w:bCs/>
          <w:spacing w:val="20"/>
          <w:szCs w:val="21"/>
        </w:rPr>
        <w:t>.</w:t>
      </w:r>
      <w:r>
        <w:rPr>
          <w:rFonts w:hint="eastAsia" w:ascii="EU-F1"/>
          <w:bCs/>
          <w:szCs w:val="21"/>
        </w:rPr>
        <w:t>2　</w:t>
      </w:r>
      <w:r>
        <w:rPr>
          <w:rFonts w:hint="eastAsia"/>
          <w:bCs/>
          <w:szCs w:val="21"/>
        </w:rPr>
        <w:t>投标人应仔细阅读本标准（包括本标准通用和相关专用技术规范）的全部条款。</w:t>
      </w:r>
    </w:p>
    <w:p w14:paraId="06466F4A">
      <w:pPr>
        <w:topLinePunct/>
        <w:spacing w:line="312" w:lineRule="exact"/>
        <w:rPr>
          <w:spacing w:val="2"/>
          <w:szCs w:val="21"/>
        </w:rPr>
      </w:pPr>
      <w:r>
        <w:rPr>
          <w:rFonts w:hint="eastAsia" w:ascii="EU-F1"/>
          <w:bCs/>
          <w:szCs w:val="21"/>
        </w:rPr>
        <w:t>4</w:t>
      </w:r>
      <w:r>
        <w:rPr>
          <w:rFonts w:hint="eastAsia" w:ascii="EU-F1"/>
          <w:bCs/>
          <w:spacing w:val="20"/>
          <w:szCs w:val="21"/>
        </w:rPr>
        <w:t>.</w:t>
      </w:r>
      <w:r>
        <w:rPr>
          <w:rFonts w:hint="eastAsia" w:ascii="EU-F1"/>
          <w:bCs/>
          <w:szCs w:val="21"/>
        </w:rPr>
        <w:t>1</w:t>
      </w:r>
      <w:r>
        <w:rPr>
          <w:rFonts w:hint="eastAsia" w:ascii="EU-F1"/>
          <w:bCs/>
          <w:spacing w:val="20"/>
          <w:szCs w:val="21"/>
        </w:rPr>
        <w:t>.</w:t>
      </w:r>
      <w:r>
        <w:rPr>
          <w:rFonts w:hint="eastAsia" w:ascii="EU-F1"/>
          <w:szCs w:val="21"/>
        </w:rPr>
        <w:t>3　</w:t>
      </w:r>
      <w:r>
        <w:rPr>
          <w:rFonts w:hint="eastAsia"/>
          <w:spacing w:val="2"/>
          <w:szCs w:val="21"/>
        </w:rPr>
        <w:t>本部分提出的是最低限度的技术要求，并未对一切技术细节作出规定，也未充分引述有关标准的条文，投标人应提供符合本部分引用标准的最新版本标准和本部分技术要求的全新产品。</w:t>
      </w:r>
    </w:p>
    <w:p w14:paraId="700440D3">
      <w:pPr>
        <w:topLinePunct/>
        <w:spacing w:line="312" w:lineRule="exact"/>
        <w:rPr>
          <w:szCs w:val="21"/>
        </w:rPr>
      </w:pPr>
      <w:r>
        <w:rPr>
          <w:rFonts w:hint="eastAsia" w:ascii="EU-F1"/>
          <w:bCs/>
          <w:szCs w:val="21"/>
        </w:rPr>
        <w:t>4</w:t>
      </w:r>
      <w:r>
        <w:rPr>
          <w:rFonts w:hint="eastAsia" w:ascii="EU-F1"/>
          <w:bCs/>
          <w:spacing w:val="20"/>
          <w:szCs w:val="21"/>
        </w:rPr>
        <w:t>.</w:t>
      </w:r>
      <w:r>
        <w:rPr>
          <w:rFonts w:hint="eastAsia" w:ascii="EU-F1"/>
          <w:bCs/>
          <w:szCs w:val="21"/>
        </w:rPr>
        <w:t>1</w:t>
      </w:r>
      <w:r>
        <w:rPr>
          <w:rFonts w:hint="eastAsia" w:ascii="EU-F1"/>
          <w:bCs/>
          <w:spacing w:val="20"/>
          <w:szCs w:val="21"/>
        </w:rPr>
        <w:t>.</w:t>
      </w:r>
      <w:r>
        <w:rPr>
          <w:rFonts w:hint="eastAsia" w:ascii="EU-F1"/>
          <w:szCs w:val="21"/>
        </w:rPr>
        <w:t>4　</w:t>
      </w:r>
      <w:r>
        <w:rPr>
          <w:rFonts w:hint="eastAsia"/>
          <w:szCs w:val="21"/>
        </w:rPr>
        <w:t>如果投标人没有以书面形式对本部分的条文提出差异，则意味着投标人提供的产品完全符合本部分的要求。如有与本部分要求不一致的地方，应逐项在技术差异表中列出。</w:t>
      </w:r>
    </w:p>
    <w:p w14:paraId="366E4E44">
      <w:pPr>
        <w:topLinePunct/>
        <w:spacing w:line="312" w:lineRule="exact"/>
        <w:rPr>
          <w:szCs w:val="21"/>
        </w:rPr>
      </w:pPr>
      <w:r>
        <w:rPr>
          <w:rFonts w:hint="eastAsia" w:ascii="EU-F1"/>
          <w:bCs/>
          <w:szCs w:val="21"/>
        </w:rPr>
        <w:t>4</w:t>
      </w:r>
      <w:r>
        <w:rPr>
          <w:rFonts w:hint="eastAsia" w:ascii="EU-F1"/>
          <w:bCs/>
          <w:spacing w:val="20"/>
          <w:szCs w:val="21"/>
        </w:rPr>
        <w:t>.</w:t>
      </w:r>
      <w:r>
        <w:rPr>
          <w:rFonts w:hint="eastAsia" w:ascii="EU-F1"/>
          <w:bCs/>
          <w:szCs w:val="21"/>
        </w:rPr>
        <w:t>1</w:t>
      </w:r>
      <w:r>
        <w:rPr>
          <w:rFonts w:hint="eastAsia" w:ascii="EU-F1"/>
          <w:bCs/>
          <w:spacing w:val="20"/>
          <w:szCs w:val="21"/>
        </w:rPr>
        <w:t>.</w:t>
      </w:r>
      <w:r>
        <w:rPr>
          <w:rFonts w:hint="eastAsia" w:ascii="EU-F1"/>
          <w:szCs w:val="21"/>
        </w:rPr>
        <w:t>5　</w:t>
      </w:r>
      <w:r>
        <w:rPr>
          <w:rFonts w:hint="eastAsia"/>
          <w:szCs w:val="21"/>
        </w:rPr>
        <w:t>本部分将作为订货合同的附件，与合同具有同等的法律效力。本部分未尽事宜，由合同签约双方在合同谈判时协商确定。</w:t>
      </w:r>
    </w:p>
    <w:p w14:paraId="3705502A">
      <w:pPr>
        <w:topLinePunct/>
        <w:spacing w:line="312" w:lineRule="exact"/>
        <w:rPr>
          <w:szCs w:val="21"/>
        </w:rPr>
      </w:pPr>
      <w:r>
        <w:rPr>
          <w:rFonts w:hint="eastAsia" w:ascii="EU-F1"/>
          <w:bCs/>
          <w:szCs w:val="21"/>
        </w:rPr>
        <w:t>4</w:t>
      </w:r>
      <w:r>
        <w:rPr>
          <w:rFonts w:hint="eastAsia" w:ascii="EU-F1"/>
          <w:bCs/>
          <w:spacing w:val="20"/>
          <w:szCs w:val="21"/>
        </w:rPr>
        <w:t>.</w:t>
      </w:r>
      <w:r>
        <w:rPr>
          <w:rFonts w:hint="eastAsia" w:ascii="EU-F1"/>
          <w:bCs/>
          <w:szCs w:val="21"/>
        </w:rPr>
        <w:t>1</w:t>
      </w:r>
      <w:r>
        <w:rPr>
          <w:rFonts w:hint="eastAsia" w:ascii="EU-F1"/>
          <w:bCs/>
          <w:spacing w:val="20"/>
          <w:szCs w:val="21"/>
        </w:rPr>
        <w:t>.</w:t>
      </w:r>
      <w:r>
        <w:rPr>
          <w:rFonts w:hint="eastAsia" w:ascii="EU-F1"/>
          <w:szCs w:val="21"/>
        </w:rPr>
        <w:t>6　</w:t>
      </w:r>
      <w:r>
        <w:rPr>
          <w:rFonts w:hint="eastAsia"/>
          <w:szCs w:val="21"/>
        </w:rPr>
        <w:t>本部分中涉及有关商务方面的内容，如与招标文件的商务部分有矛盾时，以商务部分为准。</w:t>
      </w:r>
    </w:p>
    <w:p w14:paraId="2D653D9A">
      <w:pPr>
        <w:topLinePunct/>
        <w:spacing w:line="312" w:lineRule="exact"/>
        <w:rPr>
          <w:bCs/>
          <w:szCs w:val="21"/>
        </w:rPr>
      </w:pPr>
      <w:r>
        <w:rPr>
          <w:rFonts w:hint="eastAsia" w:ascii="EU-F1"/>
          <w:bCs/>
          <w:szCs w:val="21"/>
        </w:rPr>
        <w:t>4</w:t>
      </w:r>
      <w:r>
        <w:rPr>
          <w:rFonts w:hint="eastAsia" w:ascii="EU-F1"/>
          <w:bCs/>
          <w:spacing w:val="20"/>
          <w:szCs w:val="21"/>
        </w:rPr>
        <w:t>.</w:t>
      </w:r>
      <w:r>
        <w:rPr>
          <w:rFonts w:hint="eastAsia" w:ascii="EU-F1"/>
          <w:bCs/>
          <w:szCs w:val="21"/>
        </w:rPr>
        <w:t>1</w:t>
      </w:r>
      <w:r>
        <w:rPr>
          <w:rFonts w:hint="eastAsia" w:ascii="EU-F1"/>
          <w:bCs/>
          <w:spacing w:val="20"/>
          <w:szCs w:val="21"/>
        </w:rPr>
        <w:t>.</w:t>
      </w:r>
      <w:r>
        <w:rPr>
          <w:rFonts w:hint="eastAsia" w:ascii="EU-F1"/>
          <w:bCs/>
          <w:szCs w:val="21"/>
        </w:rPr>
        <w:t>7　</w:t>
      </w:r>
      <w:r>
        <w:rPr>
          <w:rFonts w:hint="eastAsia"/>
          <w:szCs w:val="21"/>
        </w:rPr>
        <w:t>本部分中各条款如与专用部分有冲突，以专用部分为准。</w:t>
      </w:r>
    </w:p>
    <w:p w14:paraId="569AF442">
      <w:pPr>
        <w:pStyle w:val="59"/>
        <w:rPr>
          <w:snapToGrid w:val="0"/>
        </w:rPr>
      </w:pPr>
      <w:r>
        <w:rPr>
          <w:rFonts w:hint="eastAsia"/>
          <w:snapToGrid w:val="0"/>
        </w:rPr>
        <w:t>4</w:t>
      </w:r>
      <w:r>
        <w:rPr>
          <w:rFonts w:hint="eastAsia"/>
          <w:snapToGrid w:val="0"/>
          <w:spacing w:val="20"/>
        </w:rPr>
        <w:t>.</w:t>
      </w:r>
      <w:r>
        <w:rPr>
          <w:rFonts w:hint="eastAsia"/>
          <w:snapToGrid w:val="0"/>
        </w:rPr>
        <w:t>2　投标人应提供的资格文件</w:t>
      </w:r>
    </w:p>
    <w:p w14:paraId="10214B4F">
      <w:pPr>
        <w:topLinePunct/>
        <w:spacing w:line="312" w:lineRule="exact"/>
        <w:ind w:firstLine="420"/>
        <w:rPr>
          <w:snapToGrid w:val="0"/>
          <w:szCs w:val="21"/>
        </w:rPr>
      </w:pPr>
      <w:r>
        <w:rPr>
          <w:rFonts w:hint="eastAsia"/>
          <w:snapToGrid w:val="0"/>
          <w:szCs w:val="21"/>
        </w:rPr>
        <w:t>投标人应提供下列资格文件：</w:t>
      </w:r>
    </w:p>
    <w:p w14:paraId="1C4C23BA">
      <w:pPr>
        <w:topLinePunct/>
        <w:spacing w:line="312" w:lineRule="exact"/>
        <w:ind w:left="840" w:hanging="420"/>
        <w:rPr>
          <w:snapToGrid w:val="0"/>
          <w:szCs w:val="21"/>
        </w:rPr>
      </w:pPr>
      <w:r>
        <w:rPr>
          <w:snapToGrid w:val="0"/>
          <w:szCs w:val="21"/>
        </w:rPr>
        <w:t>a</w:t>
      </w:r>
      <w:r>
        <w:rPr>
          <w:rFonts w:hint="eastAsia"/>
          <w:snapToGrid w:val="0"/>
          <w:szCs w:val="21"/>
        </w:rPr>
        <w:t>）</w:t>
      </w:r>
      <w:r>
        <w:rPr>
          <w:snapToGrid w:val="0"/>
          <w:szCs w:val="21"/>
        </w:rPr>
        <w:tab/>
      </w:r>
      <w:r>
        <w:rPr>
          <w:rFonts w:hint="eastAsia"/>
          <w:snapToGrid w:val="0"/>
          <w:szCs w:val="21"/>
        </w:rPr>
        <w:t>投标人或制造商投标产品的销售记录及相应的最终用户的使用情况证明。</w:t>
      </w:r>
    </w:p>
    <w:p w14:paraId="36A30061">
      <w:pPr>
        <w:topLinePunct/>
        <w:spacing w:line="312" w:lineRule="exact"/>
        <w:ind w:left="840" w:hanging="420"/>
        <w:rPr>
          <w:snapToGrid w:val="0"/>
          <w:szCs w:val="21"/>
        </w:rPr>
      </w:pPr>
      <w:r>
        <w:rPr>
          <w:snapToGrid w:val="0"/>
          <w:szCs w:val="21"/>
        </w:rPr>
        <w:t>b</w:t>
      </w:r>
      <w:r>
        <w:rPr>
          <w:rFonts w:hint="eastAsia"/>
          <w:snapToGrid w:val="0"/>
          <w:szCs w:val="21"/>
        </w:rPr>
        <w:t>）</w:t>
      </w:r>
      <w:r>
        <w:rPr>
          <w:snapToGrid w:val="0"/>
          <w:szCs w:val="21"/>
        </w:rPr>
        <w:tab/>
      </w:r>
      <w:r>
        <w:rPr>
          <w:rFonts w:hint="eastAsia"/>
          <w:snapToGrid w:val="0"/>
          <w:szCs w:val="21"/>
        </w:rPr>
        <w:t>投标人或制造商应提供权威机关颁发的</w:t>
      </w:r>
      <w:r>
        <w:rPr>
          <w:snapToGrid w:val="0"/>
          <w:szCs w:val="21"/>
        </w:rPr>
        <w:t>ISO 9000</w:t>
      </w:r>
      <w:r>
        <w:rPr>
          <w:rFonts w:hint="eastAsia"/>
          <w:snapToGrid w:val="0"/>
          <w:szCs w:val="21"/>
        </w:rPr>
        <w:t>系列的认证书。</w:t>
      </w:r>
    </w:p>
    <w:p w14:paraId="3D6C86BE">
      <w:pPr>
        <w:topLinePunct/>
        <w:spacing w:line="312" w:lineRule="exact"/>
        <w:ind w:left="840" w:hanging="420"/>
        <w:rPr>
          <w:snapToGrid w:val="0"/>
          <w:szCs w:val="21"/>
        </w:rPr>
      </w:pPr>
      <w:r>
        <w:rPr>
          <w:snapToGrid w:val="0"/>
          <w:szCs w:val="21"/>
        </w:rPr>
        <w:t>c</w:t>
      </w:r>
      <w:r>
        <w:rPr>
          <w:rFonts w:hint="eastAsia"/>
          <w:snapToGrid w:val="0"/>
          <w:szCs w:val="21"/>
        </w:rPr>
        <w:t>）</w:t>
      </w:r>
      <w:r>
        <w:rPr>
          <w:snapToGrid w:val="0"/>
          <w:szCs w:val="21"/>
        </w:rPr>
        <w:tab/>
      </w:r>
      <w:r>
        <w:rPr>
          <w:rFonts w:hint="eastAsia"/>
          <w:snapToGrid w:val="0"/>
          <w:szCs w:val="21"/>
        </w:rPr>
        <w:t>投标人或制造商应提供履行合同所需的技术和主要产品等生产能力的文件资料。</w:t>
      </w:r>
    </w:p>
    <w:p w14:paraId="031D8DF8">
      <w:pPr>
        <w:topLinePunct/>
        <w:spacing w:line="312" w:lineRule="exact"/>
        <w:ind w:left="840" w:hanging="420"/>
        <w:rPr>
          <w:snapToGrid w:val="0"/>
          <w:szCs w:val="21"/>
        </w:rPr>
      </w:pPr>
      <w:r>
        <w:rPr>
          <w:snapToGrid w:val="0"/>
          <w:szCs w:val="21"/>
        </w:rPr>
        <w:t>d</w:t>
      </w:r>
      <w:r>
        <w:rPr>
          <w:rFonts w:hint="eastAsia"/>
          <w:snapToGrid w:val="0"/>
          <w:szCs w:val="21"/>
        </w:rPr>
        <w:t>）</w:t>
      </w:r>
      <w:r>
        <w:rPr>
          <w:snapToGrid w:val="0"/>
          <w:szCs w:val="21"/>
        </w:rPr>
        <w:tab/>
      </w:r>
      <w:r>
        <w:rPr>
          <w:rFonts w:hint="eastAsia"/>
          <w:snapToGrid w:val="0"/>
          <w:szCs w:val="21"/>
        </w:rPr>
        <w:t>投标人应提供有能力履行合同产品维护保养、修理及其他服务义务的文件。</w:t>
      </w:r>
    </w:p>
    <w:p w14:paraId="33CAD421">
      <w:pPr>
        <w:topLinePunct/>
        <w:spacing w:line="312" w:lineRule="exact"/>
        <w:ind w:left="840" w:hanging="420"/>
        <w:rPr>
          <w:snapToGrid w:val="0"/>
          <w:szCs w:val="21"/>
        </w:rPr>
      </w:pPr>
      <w:r>
        <w:rPr>
          <w:snapToGrid w:val="0"/>
          <w:szCs w:val="21"/>
        </w:rPr>
        <w:t>e</w:t>
      </w:r>
      <w:r>
        <w:rPr>
          <w:rFonts w:hint="eastAsia"/>
          <w:snapToGrid w:val="0"/>
          <w:szCs w:val="21"/>
        </w:rPr>
        <w:t>）</w:t>
      </w:r>
      <w:r>
        <w:rPr>
          <w:snapToGrid w:val="0"/>
          <w:szCs w:val="21"/>
        </w:rPr>
        <w:tab/>
      </w:r>
      <w:r>
        <w:rPr>
          <w:rFonts w:hint="eastAsia"/>
          <w:snapToGrid w:val="0"/>
          <w:szCs w:val="21"/>
        </w:rPr>
        <w:t>投标人或制造商应提供投标产品全部有效期内合格的型式试验报告和</w:t>
      </w:r>
      <w:r>
        <w:rPr>
          <w:snapToGrid w:val="0"/>
          <w:szCs w:val="21"/>
        </w:rPr>
        <w:t>CCC</w:t>
      </w:r>
      <w:r>
        <w:rPr>
          <w:rFonts w:hint="eastAsia"/>
          <w:snapToGrid w:val="0"/>
          <w:szCs w:val="21"/>
        </w:rPr>
        <w:t>产品认证证书。</w:t>
      </w:r>
    </w:p>
    <w:p w14:paraId="32CAB1E3">
      <w:pPr>
        <w:pStyle w:val="59"/>
      </w:pPr>
      <w:r>
        <w:rPr>
          <w:rFonts w:hint="eastAsia"/>
        </w:rPr>
        <w:t>4</w:t>
      </w:r>
      <w:r>
        <w:rPr>
          <w:rFonts w:hint="eastAsia"/>
          <w:spacing w:val="20"/>
        </w:rPr>
        <w:t>.</w:t>
      </w:r>
      <w:r>
        <w:rPr>
          <w:rFonts w:hint="eastAsia"/>
        </w:rPr>
        <w:t>3　适用范围</w:t>
      </w:r>
    </w:p>
    <w:p w14:paraId="6E0749A4">
      <w:pPr>
        <w:topLinePunct/>
        <w:spacing w:line="312" w:lineRule="exact"/>
        <w:rPr>
          <w:szCs w:val="21"/>
        </w:rPr>
      </w:pPr>
      <w:r>
        <w:rPr>
          <w:rFonts w:hint="eastAsia" w:ascii="EU-F1"/>
          <w:bCs/>
          <w:szCs w:val="21"/>
        </w:rPr>
        <w:t>4</w:t>
      </w:r>
      <w:r>
        <w:rPr>
          <w:rFonts w:hint="eastAsia" w:ascii="EU-F1"/>
          <w:bCs/>
          <w:spacing w:val="20"/>
          <w:szCs w:val="21"/>
        </w:rPr>
        <w:t>.</w:t>
      </w:r>
      <w:r>
        <w:rPr>
          <w:rFonts w:hint="eastAsia" w:ascii="EU-F1"/>
          <w:bCs/>
          <w:szCs w:val="21"/>
        </w:rPr>
        <w:t>3</w:t>
      </w:r>
      <w:r>
        <w:rPr>
          <w:rFonts w:hint="eastAsia" w:ascii="EU-F1"/>
          <w:bCs/>
          <w:spacing w:val="20"/>
          <w:szCs w:val="21"/>
        </w:rPr>
        <w:t>.</w:t>
      </w:r>
      <w:r>
        <w:rPr>
          <w:rFonts w:hint="eastAsia" w:ascii="EU-F1"/>
          <w:bCs/>
          <w:szCs w:val="21"/>
        </w:rPr>
        <w:t>1　</w:t>
      </w:r>
      <w:r>
        <w:rPr>
          <w:rFonts w:hint="eastAsia"/>
          <w:szCs w:val="21"/>
        </w:rPr>
        <w:t>本部分的适用范围仅限于本项目的投标产品。内容包括设计、结构、性能及现场服务和技术服务。</w:t>
      </w:r>
    </w:p>
    <w:p w14:paraId="7C74E6B6">
      <w:pPr>
        <w:topLinePunct/>
        <w:spacing w:line="312" w:lineRule="exact"/>
        <w:rPr>
          <w:snapToGrid w:val="0"/>
          <w:szCs w:val="21"/>
        </w:rPr>
      </w:pPr>
      <w:r>
        <w:rPr>
          <w:rFonts w:hint="eastAsia" w:ascii="EU-F1"/>
          <w:bCs/>
          <w:szCs w:val="21"/>
        </w:rPr>
        <w:t>4</w:t>
      </w:r>
      <w:r>
        <w:rPr>
          <w:rFonts w:hint="eastAsia" w:ascii="EU-F1"/>
          <w:bCs/>
          <w:spacing w:val="20"/>
          <w:szCs w:val="21"/>
        </w:rPr>
        <w:t>.</w:t>
      </w:r>
      <w:r>
        <w:rPr>
          <w:rFonts w:hint="eastAsia" w:ascii="EU-F1"/>
          <w:bCs/>
          <w:szCs w:val="21"/>
        </w:rPr>
        <w:t>3</w:t>
      </w:r>
      <w:r>
        <w:rPr>
          <w:rFonts w:hint="eastAsia" w:ascii="EU-F1"/>
          <w:bCs/>
          <w:spacing w:val="20"/>
          <w:szCs w:val="21"/>
        </w:rPr>
        <w:t>.</w:t>
      </w:r>
      <w:r>
        <w:rPr>
          <w:rFonts w:hint="eastAsia" w:ascii="EU-F1"/>
          <w:bCs/>
          <w:szCs w:val="21"/>
        </w:rPr>
        <w:t>2　</w:t>
      </w:r>
      <w:r>
        <w:rPr>
          <w:rFonts w:hint="eastAsia"/>
          <w:szCs w:val="21"/>
        </w:rPr>
        <w:t>中标人不应晚于签约后</w:t>
      </w:r>
      <w:r>
        <w:rPr>
          <w:rFonts w:hint="eastAsia"/>
          <w:szCs w:val="21"/>
          <w:u w:val="single"/>
        </w:rPr>
        <w:t>3</w:t>
      </w:r>
      <w:r>
        <w:rPr>
          <w:rFonts w:hint="eastAsia"/>
          <w:szCs w:val="21"/>
        </w:rPr>
        <w:t>天内，向招标人提出一个详尽的生产进度计划表，包括产品设计、材料采购、产品制造、厂内测试以及运输等详情，以确定每部分工作及其进度。</w:t>
      </w:r>
      <w:r>
        <w:rPr>
          <w:rFonts w:hint="eastAsia"/>
          <w:snapToGrid w:val="0"/>
          <w:szCs w:val="21"/>
        </w:rPr>
        <w:t>生产进度计划见表</w:t>
      </w:r>
      <w:r>
        <w:rPr>
          <w:snapToGrid w:val="0"/>
          <w:szCs w:val="21"/>
        </w:rPr>
        <w:t>1</w:t>
      </w:r>
      <w:r>
        <w:rPr>
          <w:rFonts w:hint="eastAsia"/>
          <w:snapToGrid w:val="0"/>
          <w:szCs w:val="21"/>
        </w:rPr>
        <w:t>。</w:t>
      </w:r>
    </w:p>
    <w:p w14:paraId="5E09A5A8">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3</w:t>
      </w:r>
      <w:r>
        <w:rPr>
          <w:rFonts w:hint="eastAsia" w:ascii="EU-F1"/>
          <w:snapToGrid w:val="0"/>
          <w:spacing w:val="20"/>
          <w:szCs w:val="21"/>
        </w:rPr>
        <w:t>.</w:t>
      </w:r>
      <w:r>
        <w:rPr>
          <w:rFonts w:hint="eastAsia" w:ascii="EU-F1"/>
          <w:snapToGrid w:val="0"/>
          <w:szCs w:val="21"/>
        </w:rPr>
        <w:t>3　</w:t>
      </w:r>
      <w:r>
        <w:rPr>
          <w:rFonts w:hint="eastAsia"/>
          <w:snapToGrid w:val="0"/>
          <w:szCs w:val="21"/>
        </w:rPr>
        <w:t>工作进度如有延误，投标人应及时向招标人说明原因、后果及采取的补救措施等。</w:t>
      </w:r>
    </w:p>
    <w:p w14:paraId="667175A4">
      <w:pPr>
        <w:pStyle w:val="59"/>
        <w:rPr>
          <w:snapToGrid w:val="0"/>
          <w:color w:val="auto"/>
        </w:rPr>
      </w:pPr>
      <w:r>
        <w:rPr>
          <w:rFonts w:hint="eastAsia"/>
          <w:snapToGrid w:val="0"/>
          <w:color w:val="auto"/>
        </w:rPr>
        <w:t>4</w:t>
      </w:r>
      <w:r>
        <w:rPr>
          <w:rFonts w:hint="eastAsia"/>
          <w:snapToGrid w:val="0"/>
          <w:color w:val="auto"/>
          <w:spacing w:val="20"/>
        </w:rPr>
        <w:t>.</w:t>
      </w:r>
      <w:r>
        <w:rPr>
          <w:rFonts w:hint="eastAsia"/>
          <w:snapToGrid w:val="0"/>
          <w:color w:val="auto"/>
        </w:rPr>
        <w:t>4　对试验报告的要求</w:t>
      </w:r>
    </w:p>
    <w:p w14:paraId="3AB2CB49">
      <w:pPr>
        <w:topLinePunct/>
        <w:spacing w:line="312" w:lineRule="exact"/>
        <w:ind w:firstLine="420"/>
        <w:rPr>
          <w:szCs w:val="21"/>
        </w:rPr>
      </w:pPr>
      <w:r>
        <w:rPr>
          <w:rFonts w:hint="eastAsia"/>
          <w:szCs w:val="21"/>
        </w:rPr>
        <w:t>投标人应提供具体投标系列所对应的资质文件：</w:t>
      </w:r>
    </w:p>
    <w:p w14:paraId="0CE0F64C">
      <w:pPr>
        <w:ind w:left="840" w:hanging="420"/>
      </w:pPr>
      <w:r>
        <w:t>a</w:t>
      </w:r>
      <w:r>
        <w:rPr>
          <w:rFonts w:hint="eastAsia"/>
        </w:rPr>
        <w:t>）</w:t>
      </w:r>
      <w:r>
        <w:tab/>
      </w:r>
      <w:r>
        <w:rPr>
          <w:rFonts w:hint="eastAsia"/>
        </w:rPr>
        <w:t>纸包铜扁线的3C证书、型式试验报告和出厂试验报告。</w:t>
      </w:r>
    </w:p>
    <w:p w14:paraId="362B9AF0">
      <w:pPr>
        <w:ind w:left="840" w:hanging="420"/>
      </w:pPr>
      <w:r>
        <w:t>b</w:t>
      </w:r>
      <w:r>
        <w:rPr>
          <w:rFonts w:hint="eastAsia"/>
        </w:rPr>
        <w:t>） 当产品的设计、工艺、生产条件或使用的材料及主要元件发生重大改变而影响到产品性能时，应做相应的型式试验并提供试验报告。</w:t>
      </w:r>
    </w:p>
    <w:p w14:paraId="3D7E65D1">
      <w:pPr>
        <w:pStyle w:val="59"/>
        <w:rPr>
          <w:snapToGrid w:val="0"/>
          <w:color w:val="auto"/>
        </w:rPr>
      </w:pPr>
      <w:r>
        <w:rPr>
          <w:rFonts w:hint="eastAsia"/>
          <w:snapToGrid w:val="0"/>
          <w:color w:val="auto"/>
        </w:rPr>
        <w:t>4</w:t>
      </w:r>
      <w:r>
        <w:rPr>
          <w:rFonts w:hint="eastAsia"/>
          <w:snapToGrid w:val="0"/>
          <w:color w:val="auto"/>
          <w:spacing w:val="20"/>
        </w:rPr>
        <w:t>.</w:t>
      </w:r>
      <w:r>
        <w:rPr>
          <w:rFonts w:hint="eastAsia"/>
          <w:snapToGrid w:val="0"/>
          <w:color w:val="auto"/>
        </w:rPr>
        <w:t>5　标准</w:t>
      </w:r>
    </w:p>
    <w:p w14:paraId="15354A61">
      <w:pPr>
        <w:topLinePunct/>
        <w:spacing w:line="312" w:lineRule="exact"/>
        <w:ind w:firstLine="210" w:firstLineChars="100"/>
        <w:rPr>
          <w:snapToGrid w:val="0"/>
          <w:szCs w:val="21"/>
        </w:rPr>
      </w:pPr>
      <w:r>
        <w:rPr>
          <w:rFonts w:hint="eastAsia" w:ascii="EU-F1"/>
          <w:snapToGrid w:val="0"/>
          <w:szCs w:val="21"/>
        </w:rPr>
        <w:t>　</w:t>
      </w:r>
      <w:r>
        <w:rPr>
          <w:rFonts w:hint="eastAsia"/>
          <w:snapToGrid w:val="0"/>
          <w:szCs w:val="21"/>
        </w:rPr>
        <w:t>合同中所有产品，除本部分中规定的技术参数和要求外，其余均应遵照最新版本的电力行业标准（</w:t>
      </w:r>
      <w:r>
        <w:rPr>
          <w:snapToGrid w:val="0"/>
          <w:szCs w:val="21"/>
        </w:rPr>
        <w:t>DL</w:t>
      </w:r>
      <w:r>
        <w:rPr>
          <w:rFonts w:hint="eastAsia"/>
          <w:snapToGrid w:val="0"/>
          <w:szCs w:val="21"/>
        </w:rPr>
        <w:t>）、国家标准（</w:t>
      </w:r>
      <w:r>
        <w:rPr>
          <w:snapToGrid w:val="0"/>
          <w:szCs w:val="21"/>
        </w:rPr>
        <w:t>GB</w:t>
      </w:r>
      <w:r>
        <w:rPr>
          <w:rFonts w:hint="eastAsia"/>
          <w:snapToGrid w:val="0"/>
          <w:szCs w:val="21"/>
        </w:rPr>
        <w:t>）和</w:t>
      </w:r>
      <w:r>
        <w:rPr>
          <w:snapToGrid w:val="0"/>
          <w:szCs w:val="21"/>
        </w:rPr>
        <w:t>IEC</w:t>
      </w:r>
      <w:r>
        <w:rPr>
          <w:rFonts w:hint="eastAsia"/>
          <w:snapToGrid w:val="0"/>
          <w:szCs w:val="21"/>
        </w:rPr>
        <w:t>标准及国际单位制（</w:t>
      </w:r>
      <w:r>
        <w:rPr>
          <w:snapToGrid w:val="0"/>
          <w:szCs w:val="21"/>
        </w:rPr>
        <w:t>SI</w:t>
      </w:r>
      <w:r>
        <w:rPr>
          <w:rFonts w:hint="eastAsia"/>
          <w:snapToGrid w:val="0"/>
          <w:szCs w:val="21"/>
        </w:rPr>
        <w:t>），这是对产品的最低要求。投标人如果采用自己的标准或规范，应向招标人提供中文和英文（若有）复印件并经招标人同意后方可采用，但不能低于</w:t>
      </w:r>
      <w:r>
        <w:rPr>
          <w:snapToGrid w:val="0"/>
          <w:szCs w:val="21"/>
        </w:rPr>
        <w:t>DL</w:t>
      </w:r>
      <w:r>
        <w:rPr>
          <w:rFonts w:hint="eastAsia"/>
          <w:snapToGrid w:val="0"/>
          <w:szCs w:val="21"/>
        </w:rPr>
        <w:t>、</w:t>
      </w:r>
      <w:r>
        <w:rPr>
          <w:snapToGrid w:val="0"/>
          <w:szCs w:val="21"/>
        </w:rPr>
        <w:t>GB</w:t>
      </w:r>
      <w:r>
        <w:rPr>
          <w:rFonts w:hint="eastAsia"/>
          <w:snapToGrid w:val="0"/>
          <w:szCs w:val="21"/>
        </w:rPr>
        <w:t>和</w:t>
      </w:r>
      <w:r>
        <w:rPr>
          <w:snapToGrid w:val="0"/>
          <w:szCs w:val="21"/>
        </w:rPr>
        <w:t>IEC</w:t>
      </w:r>
      <w:r>
        <w:rPr>
          <w:rFonts w:hint="eastAsia"/>
          <w:snapToGrid w:val="0"/>
          <w:szCs w:val="21"/>
        </w:rPr>
        <w:t>的有关规定。</w:t>
      </w:r>
    </w:p>
    <w:p w14:paraId="40F73300">
      <w:pPr>
        <w:pStyle w:val="59"/>
        <w:rPr>
          <w:snapToGrid w:val="0"/>
        </w:rPr>
      </w:pPr>
      <w:r>
        <w:rPr>
          <w:rFonts w:hint="eastAsia"/>
          <w:snapToGrid w:val="0"/>
        </w:rPr>
        <w:t>4</w:t>
      </w:r>
      <w:r>
        <w:rPr>
          <w:rFonts w:hint="eastAsia"/>
          <w:snapToGrid w:val="0"/>
          <w:spacing w:val="20"/>
        </w:rPr>
        <w:t>.</w:t>
      </w:r>
      <w:r>
        <w:rPr>
          <w:rFonts w:hint="eastAsia"/>
          <w:snapToGrid w:val="0"/>
        </w:rPr>
        <w:t>6　投标人应提交的技术参数和信息</w:t>
      </w:r>
    </w:p>
    <w:p w14:paraId="646DDD24">
      <w:pPr>
        <w:topLinePunct/>
        <w:spacing w:line="312" w:lineRule="exact"/>
        <w:ind w:left="840" w:hanging="420"/>
        <w:rPr>
          <w:snapToGrid w:val="0"/>
          <w:szCs w:val="21"/>
        </w:rPr>
      </w:pPr>
      <w:r>
        <w:rPr>
          <w:snapToGrid w:val="0"/>
          <w:szCs w:val="21"/>
        </w:rPr>
        <w:t>a</w:t>
      </w:r>
      <w:r>
        <w:rPr>
          <w:rFonts w:hint="eastAsia"/>
          <w:snapToGrid w:val="0"/>
          <w:szCs w:val="21"/>
        </w:rPr>
        <w:t>）</w:t>
      </w:r>
      <w:r>
        <w:rPr>
          <w:snapToGrid w:val="0"/>
          <w:szCs w:val="21"/>
        </w:rPr>
        <w:tab/>
      </w:r>
      <w:r>
        <w:rPr>
          <w:rFonts w:hint="eastAsia"/>
          <w:snapToGrid w:val="0"/>
          <w:szCs w:val="21"/>
        </w:rPr>
        <w:t>技术参数特性表、技术偏差表及相关技术资料。</w:t>
      </w:r>
    </w:p>
    <w:p w14:paraId="7CA7F1EF">
      <w:pPr>
        <w:topLinePunct/>
        <w:spacing w:line="312" w:lineRule="exact"/>
        <w:ind w:left="840" w:hanging="420"/>
        <w:rPr>
          <w:snapToGrid w:val="0"/>
          <w:szCs w:val="21"/>
        </w:rPr>
      </w:pPr>
      <w:r>
        <w:rPr>
          <w:snapToGrid w:val="0"/>
          <w:szCs w:val="21"/>
        </w:rPr>
        <w:t>b</w:t>
      </w:r>
      <w:r>
        <w:rPr>
          <w:rFonts w:hint="eastAsia"/>
          <w:snapToGrid w:val="0"/>
          <w:szCs w:val="21"/>
        </w:rPr>
        <w:t>）</w:t>
      </w:r>
      <w:r>
        <w:rPr>
          <w:snapToGrid w:val="0"/>
          <w:szCs w:val="21"/>
        </w:rPr>
        <w:tab/>
      </w:r>
      <w:r>
        <w:rPr>
          <w:rFonts w:hint="eastAsia"/>
          <w:snapToGrid w:val="0"/>
          <w:szCs w:val="21"/>
        </w:rPr>
        <w:t>投标产品的特性参数和特点。</w:t>
      </w:r>
    </w:p>
    <w:p w14:paraId="1C8D1EA9">
      <w:pPr>
        <w:pStyle w:val="59"/>
        <w:rPr>
          <w:snapToGrid w:val="0"/>
        </w:rPr>
      </w:pPr>
      <w:r>
        <w:rPr>
          <w:rFonts w:hint="eastAsia"/>
          <w:snapToGrid w:val="0"/>
        </w:rPr>
        <w:t>4</w:t>
      </w:r>
      <w:r>
        <w:rPr>
          <w:rFonts w:hint="eastAsia"/>
          <w:snapToGrid w:val="0"/>
          <w:spacing w:val="20"/>
        </w:rPr>
        <w:t>.</w:t>
      </w:r>
      <w:r>
        <w:rPr>
          <w:rFonts w:hint="eastAsia"/>
          <w:snapToGrid w:val="0"/>
        </w:rPr>
        <w:t>7　安装、调试、性能试验、试运行和验收</w:t>
      </w:r>
    </w:p>
    <w:p w14:paraId="33B836CF">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7</w:t>
      </w:r>
      <w:r>
        <w:rPr>
          <w:rFonts w:hint="eastAsia" w:ascii="EU-F1"/>
          <w:snapToGrid w:val="0"/>
          <w:spacing w:val="20"/>
          <w:szCs w:val="21"/>
        </w:rPr>
        <w:t>.</w:t>
      </w:r>
      <w:r>
        <w:rPr>
          <w:rFonts w:hint="eastAsia" w:ascii="EU-F1"/>
          <w:snapToGrid w:val="0"/>
          <w:szCs w:val="21"/>
        </w:rPr>
        <w:t>1　</w:t>
      </w:r>
      <w:r>
        <w:rPr>
          <w:rFonts w:hint="eastAsia"/>
          <w:snapToGrid w:val="0"/>
          <w:szCs w:val="21"/>
        </w:rPr>
        <w:t>合同产品的性能试验、使用和验收根据本部分规定的标准、规程规范进行。</w:t>
      </w:r>
    </w:p>
    <w:p w14:paraId="407254AA">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7</w:t>
      </w:r>
      <w:r>
        <w:rPr>
          <w:rFonts w:hint="eastAsia" w:ascii="EU-F1"/>
          <w:snapToGrid w:val="0"/>
          <w:spacing w:val="20"/>
          <w:szCs w:val="21"/>
        </w:rPr>
        <w:t>.2</w:t>
      </w:r>
      <w:r>
        <w:rPr>
          <w:rFonts w:hint="eastAsia" w:ascii="EU-F1"/>
          <w:snapToGrid w:val="0"/>
          <w:szCs w:val="21"/>
        </w:rPr>
        <w:t>　</w:t>
      </w:r>
      <w:r>
        <w:rPr>
          <w:rFonts w:hint="eastAsia"/>
          <w:snapToGrid w:val="0"/>
          <w:spacing w:val="-2"/>
          <w:szCs w:val="21"/>
        </w:rPr>
        <w:t>如果安装、使用、性能试验及质保期内技术指标一项或多项不能满足合同技术部分要求，招投标双方共同分析原因，分清责任，如属制造方面的原因，或涉及索赔部分，按商务部分有关条款执行。</w:t>
      </w:r>
    </w:p>
    <w:p w14:paraId="1C4115DD">
      <w:pPr>
        <w:pStyle w:val="60"/>
        <w:outlineLvl w:val="0"/>
      </w:pPr>
      <w:bookmarkStart w:id="7" w:name="_Toc438720045"/>
      <w:r>
        <w:rPr>
          <w:rFonts w:hint="eastAsia"/>
        </w:rPr>
        <w:t>5　技术参数和性能要求</w:t>
      </w:r>
      <w:bookmarkEnd w:id="7"/>
    </w:p>
    <w:p w14:paraId="2283B3A4">
      <w:pPr>
        <w:pStyle w:val="59"/>
      </w:pPr>
      <w:r>
        <w:rPr>
          <w:rFonts w:hint="eastAsia"/>
        </w:rPr>
        <w:t>5</w:t>
      </w:r>
      <w:r>
        <w:rPr>
          <w:rFonts w:hint="eastAsia"/>
          <w:spacing w:val="20"/>
        </w:rPr>
        <w:t>.</w:t>
      </w:r>
      <w:r>
        <w:rPr>
          <w:rFonts w:hint="eastAsia"/>
        </w:rPr>
        <w:t>1　外观</w:t>
      </w:r>
    </w:p>
    <w:p w14:paraId="1ACAD70D">
      <w:pPr>
        <w:topLinePunct/>
        <w:spacing w:line="312" w:lineRule="exact"/>
        <w:ind w:firstLine="420" w:firstLineChars="200"/>
        <w:rPr>
          <w:rFonts w:ascii="EU-F1"/>
          <w:snapToGrid w:val="0"/>
          <w:szCs w:val="21"/>
        </w:rPr>
      </w:pPr>
      <w:r>
        <w:rPr>
          <w:rFonts w:ascii="EU-F1"/>
          <w:snapToGrid w:val="0"/>
          <w:szCs w:val="21"/>
        </w:rPr>
        <w:t>导体表面应无金属粉末及其他杂质。绝缘纸带应连续、紧密适度、均匀、平整地 绕包在线芯上，纸带应不缺层断层，绕包过程中不应有起皱和开裂等缺陷，各层纸 带应不存在金属末、油污、粉尘及其他异物。</w:t>
      </w:r>
    </w:p>
    <w:p w14:paraId="7FFCA820">
      <w:pPr>
        <w:pStyle w:val="59"/>
      </w:pPr>
    </w:p>
    <w:p w14:paraId="5DD553B5">
      <w:pPr>
        <w:pStyle w:val="59"/>
      </w:pPr>
      <w:r>
        <w:rPr>
          <w:rFonts w:hint="eastAsia"/>
        </w:rPr>
        <w:t>5</w:t>
      </w:r>
      <w:r>
        <w:rPr>
          <w:rFonts w:hint="eastAsia"/>
          <w:spacing w:val="20"/>
        </w:rPr>
        <w:t>.</w:t>
      </w:r>
      <w:r>
        <w:rPr>
          <w:rFonts w:hint="eastAsia"/>
        </w:rPr>
        <w:t>2　尺寸</w:t>
      </w:r>
    </w:p>
    <w:p w14:paraId="0B234FA7">
      <w:pPr>
        <w:topLinePunct/>
        <w:spacing w:line="312" w:lineRule="exact"/>
        <w:rPr>
          <w:rFonts w:ascii="EU-F1"/>
          <w:snapToGrid w:val="0"/>
          <w:szCs w:val="21"/>
        </w:rPr>
      </w:pPr>
      <w:r>
        <w:rPr>
          <w:rFonts w:hint="eastAsia" w:ascii="EU-F1"/>
          <w:snapToGrid w:val="0"/>
          <w:szCs w:val="21"/>
        </w:rPr>
        <w:t>5.2.1导体尺寸</w:t>
      </w:r>
    </w:p>
    <w:p w14:paraId="16919CA3">
      <w:pPr>
        <w:topLinePunct/>
        <w:spacing w:line="312" w:lineRule="exact"/>
        <w:ind w:firstLine="420" w:firstLineChars="200"/>
        <w:rPr>
          <w:rFonts w:ascii="EU-F1"/>
          <w:snapToGrid w:val="0"/>
          <w:szCs w:val="21"/>
        </w:rPr>
      </w:pPr>
      <w:r>
        <w:rPr>
          <w:rFonts w:ascii="EU-F1"/>
          <w:snapToGrid w:val="0"/>
          <w:szCs w:val="21"/>
        </w:rPr>
        <w:t>导体尺寸应符合 GB/T7095.1 的规定。</w:t>
      </w:r>
    </w:p>
    <w:p w14:paraId="7720574B">
      <w:pPr>
        <w:topLinePunct/>
        <w:spacing w:line="312" w:lineRule="exact"/>
        <w:rPr>
          <w:rFonts w:ascii="EU-F1"/>
          <w:snapToGrid w:val="0"/>
          <w:szCs w:val="21"/>
        </w:rPr>
      </w:pPr>
      <w:r>
        <w:rPr>
          <w:rFonts w:hint="eastAsia" w:ascii="EU-F1"/>
          <w:snapToGrid w:val="0"/>
          <w:szCs w:val="21"/>
        </w:rPr>
        <w:t>5.2.2 导体尺寸公差</w:t>
      </w:r>
    </w:p>
    <w:p w14:paraId="36674459">
      <w:pPr>
        <w:topLinePunct/>
        <w:spacing w:line="312" w:lineRule="exact"/>
        <w:ind w:firstLine="420" w:firstLineChars="200"/>
        <w:rPr>
          <w:rFonts w:ascii="EU-F1"/>
          <w:snapToGrid w:val="0"/>
          <w:szCs w:val="21"/>
        </w:rPr>
      </w:pPr>
      <w:r>
        <w:rPr>
          <w:rFonts w:ascii="EU-F1"/>
          <w:snapToGrid w:val="0"/>
          <w:szCs w:val="21"/>
        </w:rPr>
        <w:t>导体尺寸应符合 GB/T7095.1 的规定</w:t>
      </w:r>
      <w:r>
        <w:rPr>
          <w:rFonts w:hint="eastAsia" w:ascii="EU-F1"/>
          <w:snapToGrid w:val="0"/>
          <w:szCs w:val="21"/>
        </w:rPr>
        <w:t>，见表1、表2。</w:t>
      </w:r>
    </w:p>
    <w:p w14:paraId="66BA8AD1">
      <w:pPr>
        <w:pStyle w:val="17"/>
        <w:spacing w:before="184" w:line="220" w:lineRule="auto"/>
        <w:jc w:val="center"/>
        <w:rPr>
          <w:rFonts w:eastAsia="仿宋"/>
          <w:szCs w:val="21"/>
        </w:rPr>
      </w:pPr>
      <w:r>
        <w:rPr>
          <w:rFonts w:eastAsia="仿宋"/>
          <w:spacing w:val="-5"/>
          <w:szCs w:val="21"/>
        </w:rPr>
        <w:t>表</w:t>
      </w:r>
      <w:r>
        <w:rPr>
          <w:rFonts w:eastAsia="仿宋"/>
          <w:spacing w:val="-17"/>
          <w:szCs w:val="21"/>
        </w:rPr>
        <w:t xml:space="preserve"> </w:t>
      </w:r>
      <w:r>
        <w:rPr>
          <w:rFonts w:eastAsia="仿宋"/>
          <w:spacing w:val="-5"/>
          <w:szCs w:val="21"/>
        </w:rPr>
        <w:t>1                           单位：mm</w:t>
      </w:r>
    </w:p>
    <w:p w14:paraId="1D6C564F">
      <w:pPr>
        <w:spacing w:line="68" w:lineRule="exact"/>
        <w:rPr>
          <w:rFonts w:eastAsia="仿宋"/>
          <w:szCs w:val="21"/>
        </w:rPr>
      </w:pPr>
    </w:p>
    <w:tbl>
      <w:tblPr>
        <w:tblStyle w:val="239"/>
        <w:tblW w:w="886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431"/>
        <w:gridCol w:w="4431"/>
      </w:tblGrid>
      <w:tr w14:paraId="469397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6" w:hRule="atLeast"/>
        </w:trPr>
        <w:tc>
          <w:tcPr>
            <w:tcW w:w="4431" w:type="dxa"/>
          </w:tcPr>
          <w:p w14:paraId="6037DB21">
            <w:pPr>
              <w:pStyle w:val="240"/>
              <w:spacing w:before="117" w:line="219" w:lineRule="auto"/>
              <w:ind w:left="1562"/>
              <w:rPr>
                <w:rFonts w:ascii="Times New Roman" w:hAnsi="Times New Roman" w:eastAsia="仿宋"/>
                <w:sz w:val="21"/>
                <w:szCs w:val="21"/>
              </w:rPr>
            </w:pPr>
            <w:r>
              <w:rPr>
                <w:rFonts w:ascii="Times New Roman" w:hAnsi="Times New Roman" w:eastAsia="仿宋"/>
                <w:spacing w:val="-3"/>
                <w:sz w:val="21"/>
                <w:szCs w:val="21"/>
              </w:rPr>
              <w:t>标称尺寸</w:t>
            </w:r>
            <w:r>
              <w:rPr>
                <w:rFonts w:ascii="Times New Roman" w:hAnsi="Times New Roman" w:eastAsia="仿宋"/>
                <w:spacing w:val="7"/>
                <w:sz w:val="21"/>
                <w:szCs w:val="21"/>
              </w:rPr>
              <w:t xml:space="preserve">  </w:t>
            </w:r>
            <w:r>
              <w:rPr>
                <w:rFonts w:ascii="Times New Roman" w:hAnsi="Times New Roman" w:eastAsia="仿宋"/>
                <w:spacing w:val="-3"/>
                <w:sz w:val="21"/>
                <w:szCs w:val="21"/>
              </w:rPr>
              <w:t>a</w:t>
            </w:r>
          </w:p>
        </w:tc>
        <w:tc>
          <w:tcPr>
            <w:tcW w:w="4431" w:type="dxa"/>
          </w:tcPr>
          <w:p w14:paraId="59DE774C">
            <w:pPr>
              <w:pStyle w:val="240"/>
              <w:spacing w:before="117" w:line="220" w:lineRule="auto"/>
              <w:ind w:left="1979"/>
              <w:rPr>
                <w:rFonts w:ascii="Times New Roman" w:hAnsi="Times New Roman" w:eastAsia="仿宋"/>
                <w:sz w:val="21"/>
                <w:szCs w:val="21"/>
              </w:rPr>
            </w:pPr>
            <w:r>
              <w:rPr>
                <w:rFonts w:ascii="Times New Roman" w:hAnsi="Times New Roman" w:eastAsia="仿宋"/>
                <w:spacing w:val="-3"/>
                <w:sz w:val="21"/>
                <w:szCs w:val="21"/>
              </w:rPr>
              <w:t>偏差</w:t>
            </w:r>
          </w:p>
        </w:tc>
      </w:tr>
      <w:tr w14:paraId="70A771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trPr>
        <w:tc>
          <w:tcPr>
            <w:tcW w:w="4431" w:type="dxa"/>
          </w:tcPr>
          <w:p w14:paraId="27298FC8">
            <w:pPr>
              <w:pStyle w:val="240"/>
              <w:spacing w:before="114" w:line="236" w:lineRule="auto"/>
              <w:ind w:left="1802"/>
              <w:rPr>
                <w:rFonts w:ascii="Times New Roman" w:hAnsi="Times New Roman" w:eastAsia="仿宋"/>
                <w:sz w:val="21"/>
                <w:szCs w:val="21"/>
              </w:rPr>
            </w:pPr>
            <w:r>
              <w:rPr>
                <w:rFonts w:ascii="Times New Roman" w:hAnsi="Times New Roman" w:eastAsia="仿宋"/>
                <w:spacing w:val="-2"/>
                <w:sz w:val="21"/>
                <w:szCs w:val="21"/>
              </w:rPr>
              <w:t>a≤3.15</w:t>
            </w:r>
          </w:p>
        </w:tc>
        <w:tc>
          <w:tcPr>
            <w:tcW w:w="4431" w:type="dxa"/>
          </w:tcPr>
          <w:p w14:paraId="007DAECC">
            <w:pPr>
              <w:pStyle w:val="240"/>
              <w:spacing w:before="114" w:line="235" w:lineRule="auto"/>
              <w:ind w:left="1827"/>
              <w:rPr>
                <w:rFonts w:ascii="Times New Roman" w:hAnsi="Times New Roman" w:eastAsia="仿宋"/>
                <w:sz w:val="21"/>
                <w:szCs w:val="21"/>
              </w:rPr>
            </w:pPr>
            <w:r>
              <w:rPr>
                <w:rFonts w:ascii="Times New Roman" w:hAnsi="Times New Roman" w:eastAsia="仿宋"/>
                <w:spacing w:val="-7"/>
                <w:sz w:val="21"/>
                <w:szCs w:val="21"/>
              </w:rPr>
              <w:t>±0.030</w:t>
            </w:r>
          </w:p>
        </w:tc>
      </w:tr>
      <w:tr w14:paraId="223467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trPr>
        <w:tc>
          <w:tcPr>
            <w:tcW w:w="4431" w:type="dxa"/>
          </w:tcPr>
          <w:p w14:paraId="62CD0BB8">
            <w:pPr>
              <w:pStyle w:val="240"/>
              <w:spacing w:before="115" w:line="236" w:lineRule="auto"/>
              <w:ind w:left="1386"/>
              <w:rPr>
                <w:rFonts w:ascii="Times New Roman" w:hAnsi="Times New Roman" w:eastAsia="仿宋"/>
                <w:sz w:val="21"/>
                <w:szCs w:val="21"/>
              </w:rPr>
            </w:pPr>
            <w:r>
              <w:rPr>
                <w:rFonts w:ascii="Times New Roman" w:hAnsi="Times New Roman" w:eastAsia="仿宋"/>
                <w:spacing w:val="-4"/>
                <w:sz w:val="21"/>
                <w:szCs w:val="21"/>
              </w:rPr>
              <w:t>3.15＜a</w:t>
            </w:r>
            <w:r>
              <w:rPr>
                <w:rFonts w:ascii="Times New Roman" w:hAnsi="Times New Roman" w:eastAsia="仿宋"/>
                <w:spacing w:val="29"/>
                <w:sz w:val="21"/>
                <w:szCs w:val="21"/>
              </w:rPr>
              <w:t xml:space="preserve"> </w:t>
            </w:r>
            <w:r>
              <w:rPr>
                <w:rFonts w:ascii="Times New Roman" w:hAnsi="Times New Roman" w:eastAsia="仿宋"/>
                <w:spacing w:val="-4"/>
                <w:sz w:val="21"/>
                <w:szCs w:val="21"/>
              </w:rPr>
              <w:t>≤6.30</w:t>
            </w:r>
          </w:p>
        </w:tc>
        <w:tc>
          <w:tcPr>
            <w:tcW w:w="4431" w:type="dxa"/>
          </w:tcPr>
          <w:p w14:paraId="6F476D2E">
            <w:pPr>
              <w:pStyle w:val="240"/>
              <w:spacing w:before="116" w:line="235" w:lineRule="auto"/>
              <w:ind w:left="1827"/>
              <w:rPr>
                <w:rFonts w:ascii="Times New Roman" w:hAnsi="Times New Roman" w:eastAsia="仿宋"/>
                <w:sz w:val="21"/>
                <w:szCs w:val="21"/>
              </w:rPr>
            </w:pPr>
            <w:r>
              <w:rPr>
                <w:rFonts w:ascii="Times New Roman" w:hAnsi="Times New Roman" w:eastAsia="仿宋"/>
                <w:spacing w:val="-7"/>
                <w:sz w:val="21"/>
                <w:szCs w:val="21"/>
              </w:rPr>
              <w:t>±0.050</w:t>
            </w:r>
          </w:p>
        </w:tc>
      </w:tr>
      <w:tr w14:paraId="05EC11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9" w:hRule="atLeast"/>
        </w:trPr>
        <w:tc>
          <w:tcPr>
            <w:tcW w:w="8862" w:type="dxa"/>
            <w:gridSpan w:val="2"/>
          </w:tcPr>
          <w:p w14:paraId="4F79923D">
            <w:pPr>
              <w:pStyle w:val="240"/>
              <w:spacing w:before="119" w:line="220" w:lineRule="auto"/>
              <w:ind w:left="116"/>
              <w:rPr>
                <w:rFonts w:ascii="Times New Roman" w:hAnsi="Times New Roman" w:eastAsia="仿宋"/>
                <w:sz w:val="21"/>
                <w:szCs w:val="21"/>
              </w:rPr>
            </w:pPr>
            <w:r>
              <w:rPr>
                <w:rFonts w:ascii="Times New Roman" w:hAnsi="Times New Roman" w:eastAsia="仿宋"/>
                <w:spacing w:val="-1"/>
                <w:sz w:val="21"/>
                <w:szCs w:val="21"/>
              </w:rPr>
              <w:t>注：如有特殊要求在合同中注明</w:t>
            </w:r>
          </w:p>
        </w:tc>
      </w:tr>
    </w:tbl>
    <w:p w14:paraId="4C7448BB">
      <w:pPr>
        <w:pStyle w:val="17"/>
        <w:spacing w:before="114" w:line="220" w:lineRule="auto"/>
        <w:jc w:val="center"/>
        <w:rPr>
          <w:rFonts w:eastAsia="仿宋"/>
          <w:szCs w:val="21"/>
        </w:rPr>
      </w:pPr>
      <w:r>
        <w:rPr>
          <w:rFonts w:eastAsia="仿宋"/>
          <w:spacing w:val="-5"/>
          <w:szCs w:val="21"/>
        </w:rPr>
        <w:t>表</w:t>
      </w:r>
      <w:r>
        <w:rPr>
          <w:rFonts w:eastAsia="仿宋"/>
          <w:spacing w:val="-45"/>
          <w:szCs w:val="21"/>
        </w:rPr>
        <w:t xml:space="preserve"> </w:t>
      </w:r>
      <w:r>
        <w:rPr>
          <w:rFonts w:eastAsia="仿宋"/>
          <w:spacing w:val="-5"/>
          <w:szCs w:val="21"/>
        </w:rPr>
        <w:t>2</w:t>
      </w:r>
      <w:r>
        <w:rPr>
          <w:rFonts w:eastAsia="仿宋"/>
          <w:szCs w:val="21"/>
        </w:rPr>
        <w:t xml:space="preserve">                         </w:t>
      </w:r>
      <w:r>
        <w:rPr>
          <w:rFonts w:eastAsia="仿宋"/>
          <w:spacing w:val="-5"/>
          <w:szCs w:val="21"/>
        </w:rPr>
        <w:t>单位：mm</w:t>
      </w:r>
    </w:p>
    <w:p w14:paraId="2417048D">
      <w:pPr>
        <w:spacing w:line="68" w:lineRule="exact"/>
        <w:rPr>
          <w:rFonts w:eastAsia="仿宋"/>
          <w:szCs w:val="21"/>
        </w:rPr>
      </w:pPr>
    </w:p>
    <w:tbl>
      <w:tblPr>
        <w:tblStyle w:val="239"/>
        <w:tblW w:w="886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431"/>
        <w:gridCol w:w="4431"/>
      </w:tblGrid>
      <w:tr w14:paraId="2B1399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trPr>
        <w:tc>
          <w:tcPr>
            <w:tcW w:w="4431" w:type="dxa"/>
          </w:tcPr>
          <w:p w14:paraId="22166E2A">
            <w:pPr>
              <w:pStyle w:val="240"/>
              <w:spacing w:before="117" w:line="219" w:lineRule="auto"/>
              <w:ind w:left="1562"/>
              <w:rPr>
                <w:rFonts w:ascii="Times New Roman" w:hAnsi="Times New Roman" w:eastAsia="仿宋"/>
                <w:sz w:val="21"/>
                <w:szCs w:val="21"/>
              </w:rPr>
            </w:pPr>
            <w:r>
              <w:rPr>
                <w:rFonts w:ascii="Times New Roman" w:hAnsi="Times New Roman" w:eastAsia="仿宋"/>
                <w:spacing w:val="-1"/>
                <w:sz w:val="21"/>
                <w:szCs w:val="21"/>
              </w:rPr>
              <w:t>标称尺寸  b</w:t>
            </w:r>
          </w:p>
        </w:tc>
        <w:tc>
          <w:tcPr>
            <w:tcW w:w="4431" w:type="dxa"/>
          </w:tcPr>
          <w:p w14:paraId="518D0C09">
            <w:pPr>
              <w:pStyle w:val="240"/>
              <w:spacing w:before="117" w:line="220" w:lineRule="auto"/>
              <w:ind w:left="1979"/>
              <w:rPr>
                <w:rFonts w:ascii="Times New Roman" w:hAnsi="Times New Roman" w:eastAsia="仿宋"/>
                <w:sz w:val="21"/>
                <w:szCs w:val="21"/>
              </w:rPr>
            </w:pPr>
            <w:r>
              <w:rPr>
                <w:rFonts w:ascii="Times New Roman" w:hAnsi="Times New Roman" w:eastAsia="仿宋"/>
                <w:spacing w:val="-3"/>
                <w:sz w:val="21"/>
                <w:szCs w:val="21"/>
              </w:rPr>
              <w:t>偏差</w:t>
            </w:r>
          </w:p>
        </w:tc>
      </w:tr>
      <w:tr w14:paraId="0DC563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trPr>
        <w:tc>
          <w:tcPr>
            <w:tcW w:w="4431" w:type="dxa"/>
          </w:tcPr>
          <w:p w14:paraId="29FE247B">
            <w:pPr>
              <w:pStyle w:val="240"/>
              <w:spacing w:before="114" w:line="222" w:lineRule="auto"/>
              <w:ind w:left="1784"/>
              <w:rPr>
                <w:rFonts w:ascii="Times New Roman" w:hAnsi="Times New Roman" w:eastAsia="仿宋"/>
                <w:sz w:val="21"/>
                <w:szCs w:val="21"/>
              </w:rPr>
            </w:pPr>
            <w:r>
              <w:rPr>
                <w:rFonts w:ascii="Times New Roman" w:hAnsi="Times New Roman" w:eastAsia="仿宋"/>
                <w:spacing w:val="-10"/>
                <w:sz w:val="21"/>
                <w:szCs w:val="21"/>
              </w:rPr>
              <w:t>(b)</w:t>
            </w:r>
            <w:r>
              <w:rPr>
                <w:rFonts w:ascii="Times New Roman" w:hAnsi="Times New Roman" w:eastAsia="仿宋"/>
                <w:spacing w:val="-93"/>
                <w:sz w:val="21"/>
                <w:szCs w:val="21"/>
              </w:rPr>
              <w:t xml:space="preserve"> </w:t>
            </w:r>
            <w:r>
              <w:rPr>
                <w:rFonts w:ascii="Times New Roman" w:hAnsi="Times New Roman" w:eastAsia="仿宋"/>
                <w:spacing w:val="-10"/>
                <w:sz w:val="21"/>
                <w:szCs w:val="21"/>
              </w:rPr>
              <w:t>≤3.15</w:t>
            </w:r>
          </w:p>
        </w:tc>
        <w:tc>
          <w:tcPr>
            <w:tcW w:w="4431" w:type="dxa"/>
          </w:tcPr>
          <w:p w14:paraId="15CA5256">
            <w:pPr>
              <w:pStyle w:val="240"/>
              <w:spacing w:before="113" w:line="225" w:lineRule="auto"/>
              <w:ind w:left="1680"/>
              <w:rPr>
                <w:rFonts w:ascii="Times New Roman" w:hAnsi="Times New Roman" w:eastAsia="仿宋"/>
                <w:sz w:val="21"/>
                <w:szCs w:val="21"/>
              </w:rPr>
            </w:pPr>
            <w:r>
              <w:rPr>
                <w:rFonts w:ascii="Times New Roman" w:hAnsi="Times New Roman" w:eastAsia="仿宋"/>
                <w:spacing w:val="-2"/>
                <w:sz w:val="21"/>
                <w:szCs w:val="21"/>
              </w:rPr>
              <w:t>+0/-0.030</w:t>
            </w:r>
          </w:p>
        </w:tc>
      </w:tr>
      <w:tr w14:paraId="341157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trPr>
        <w:tc>
          <w:tcPr>
            <w:tcW w:w="4431" w:type="dxa"/>
          </w:tcPr>
          <w:p w14:paraId="6897DEF4">
            <w:pPr>
              <w:pStyle w:val="240"/>
              <w:spacing w:before="115" w:line="222" w:lineRule="auto"/>
              <w:ind w:left="1266"/>
              <w:rPr>
                <w:rFonts w:ascii="Times New Roman" w:hAnsi="Times New Roman" w:eastAsia="仿宋"/>
                <w:sz w:val="21"/>
                <w:szCs w:val="21"/>
              </w:rPr>
            </w:pPr>
            <w:r>
              <w:rPr>
                <w:rFonts w:ascii="Times New Roman" w:hAnsi="Times New Roman" w:eastAsia="仿宋"/>
                <w:spacing w:val="-4"/>
                <w:sz w:val="21"/>
                <w:szCs w:val="21"/>
              </w:rPr>
              <w:t>3.15＜(b)</w:t>
            </w:r>
            <w:r>
              <w:rPr>
                <w:rFonts w:ascii="Times New Roman" w:hAnsi="Times New Roman" w:eastAsia="仿宋"/>
                <w:spacing w:val="37"/>
                <w:sz w:val="21"/>
                <w:szCs w:val="21"/>
              </w:rPr>
              <w:t xml:space="preserve"> </w:t>
            </w:r>
            <w:r>
              <w:rPr>
                <w:rFonts w:ascii="Times New Roman" w:hAnsi="Times New Roman" w:eastAsia="仿宋"/>
                <w:spacing w:val="-4"/>
                <w:sz w:val="21"/>
                <w:szCs w:val="21"/>
              </w:rPr>
              <w:t>≤6.30</w:t>
            </w:r>
          </w:p>
        </w:tc>
        <w:tc>
          <w:tcPr>
            <w:tcW w:w="4431" w:type="dxa"/>
          </w:tcPr>
          <w:p w14:paraId="25511EA5">
            <w:pPr>
              <w:pStyle w:val="240"/>
              <w:spacing w:before="114" w:line="225" w:lineRule="auto"/>
              <w:ind w:left="1680"/>
              <w:rPr>
                <w:rFonts w:ascii="Times New Roman" w:hAnsi="Times New Roman" w:eastAsia="仿宋"/>
                <w:sz w:val="21"/>
                <w:szCs w:val="21"/>
              </w:rPr>
            </w:pPr>
            <w:r>
              <w:rPr>
                <w:rFonts w:ascii="Times New Roman" w:hAnsi="Times New Roman" w:eastAsia="仿宋"/>
                <w:spacing w:val="-2"/>
                <w:sz w:val="21"/>
                <w:szCs w:val="21"/>
              </w:rPr>
              <w:t>+0/-0.050</w:t>
            </w:r>
          </w:p>
        </w:tc>
      </w:tr>
      <w:tr w14:paraId="6EC340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4431" w:type="dxa"/>
          </w:tcPr>
          <w:p w14:paraId="186679C9">
            <w:pPr>
              <w:pStyle w:val="240"/>
              <w:spacing w:before="117" w:line="236" w:lineRule="auto"/>
              <w:ind w:left="1383"/>
              <w:rPr>
                <w:rFonts w:ascii="Times New Roman" w:hAnsi="Times New Roman" w:eastAsia="仿宋"/>
                <w:sz w:val="21"/>
                <w:szCs w:val="21"/>
              </w:rPr>
            </w:pPr>
            <w:r>
              <w:rPr>
                <w:rFonts w:ascii="Times New Roman" w:hAnsi="Times New Roman" w:eastAsia="仿宋"/>
                <w:spacing w:val="-1"/>
                <w:sz w:val="21"/>
                <w:szCs w:val="21"/>
              </w:rPr>
              <w:t>6.30＜b≤12.50</w:t>
            </w:r>
          </w:p>
        </w:tc>
        <w:tc>
          <w:tcPr>
            <w:tcW w:w="4431" w:type="dxa"/>
          </w:tcPr>
          <w:p w14:paraId="2E5ADC54">
            <w:pPr>
              <w:pStyle w:val="240"/>
              <w:spacing w:before="116" w:line="225" w:lineRule="auto"/>
              <w:ind w:left="1680"/>
              <w:rPr>
                <w:rFonts w:ascii="Times New Roman" w:hAnsi="Times New Roman" w:eastAsia="仿宋"/>
                <w:sz w:val="21"/>
                <w:szCs w:val="21"/>
              </w:rPr>
            </w:pPr>
            <w:r>
              <w:rPr>
                <w:rFonts w:ascii="Times New Roman" w:hAnsi="Times New Roman" w:eastAsia="仿宋"/>
                <w:spacing w:val="-2"/>
                <w:sz w:val="21"/>
                <w:szCs w:val="21"/>
              </w:rPr>
              <w:t>+0/-0.070</w:t>
            </w:r>
          </w:p>
        </w:tc>
      </w:tr>
      <w:tr w14:paraId="48C206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9" w:hRule="atLeast"/>
        </w:trPr>
        <w:tc>
          <w:tcPr>
            <w:tcW w:w="4431" w:type="dxa"/>
          </w:tcPr>
          <w:p w14:paraId="539BF031">
            <w:pPr>
              <w:pStyle w:val="240"/>
              <w:spacing w:before="120" w:line="236" w:lineRule="auto"/>
              <w:ind w:left="1339"/>
              <w:rPr>
                <w:rFonts w:ascii="Times New Roman" w:hAnsi="Times New Roman" w:eastAsia="仿宋"/>
                <w:sz w:val="21"/>
                <w:szCs w:val="21"/>
              </w:rPr>
            </w:pPr>
            <w:r>
              <w:rPr>
                <w:rFonts w:ascii="Times New Roman" w:hAnsi="Times New Roman" w:eastAsia="仿宋"/>
                <w:spacing w:val="-3"/>
                <w:sz w:val="21"/>
                <w:szCs w:val="21"/>
              </w:rPr>
              <w:t>12.50＜b≤16.00</w:t>
            </w:r>
          </w:p>
        </w:tc>
        <w:tc>
          <w:tcPr>
            <w:tcW w:w="4431" w:type="dxa"/>
          </w:tcPr>
          <w:p w14:paraId="205A7187">
            <w:pPr>
              <w:pStyle w:val="240"/>
              <w:spacing w:before="119" w:line="225" w:lineRule="auto"/>
              <w:ind w:left="1680"/>
              <w:rPr>
                <w:rFonts w:ascii="Times New Roman" w:hAnsi="Times New Roman" w:eastAsia="仿宋"/>
                <w:sz w:val="21"/>
                <w:szCs w:val="21"/>
              </w:rPr>
            </w:pPr>
            <w:r>
              <w:rPr>
                <w:rFonts w:ascii="Times New Roman" w:hAnsi="Times New Roman" w:eastAsia="仿宋"/>
                <w:spacing w:val="-2"/>
                <w:sz w:val="21"/>
                <w:szCs w:val="21"/>
              </w:rPr>
              <w:t>+0/-0.070</w:t>
            </w:r>
          </w:p>
        </w:tc>
      </w:tr>
    </w:tbl>
    <w:p w14:paraId="426442FB">
      <w:pPr>
        <w:topLinePunct/>
        <w:spacing w:line="312" w:lineRule="exact"/>
        <w:rPr>
          <w:rFonts w:ascii="EU-F1"/>
          <w:snapToGrid w:val="0"/>
          <w:szCs w:val="21"/>
        </w:rPr>
      </w:pPr>
      <w:r>
        <w:rPr>
          <w:rFonts w:hint="eastAsia" w:ascii="EU-F1"/>
          <w:snapToGrid w:val="0"/>
          <w:szCs w:val="21"/>
        </w:rPr>
        <w:t>5.2.3导体圆角半径</w:t>
      </w:r>
    </w:p>
    <w:p w14:paraId="5A384517">
      <w:pPr>
        <w:topLinePunct/>
        <w:spacing w:line="312" w:lineRule="exact"/>
        <w:ind w:firstLine="420" w:firstLineChars="200"/>
        <w:rPr>
          <w:rFonts w:ascii="EU-F1"/>
          <w:snapToGrid w:val="0"/>
          <w:szCs w:val="21"/>
        </w:rPr>
      </w:pPr>
      <w:r>
        <w:rPr>
          <w:rFonts w:ascii="EU-F1"/>
          <w:snapToGrid w:val="0"/>
          <w:szCs w:val="21"/>
        </w:rPr>
        <w:t>导体圆角半径应符合 GB/T7095.1 的规定，见表 3</w:t>
      </w:r>
    </w:p>
    <w:p w14:paraId="1FD2CDBA">
      <w:pPr>
        <w:pStyle w:val="17"/>
        <w:spacing w:line="360" w:lineRule="auto"/>
        <w:jc w:val="center"/>
        <w:rPr>
          <w:rFonts w:eastAsia="仿宋"/>
        </w:rPr>
      </w:pPr>
      <w:r>
        <w:rPr>
          <w:rFonts w:eastAsia="仿宋"/>
          <w:spacing w:val="-5"/>
        </w:rPr>
        <w:t>表</w:t>
      </w:r>
      <w:r>
        <w:rPr>
          <w:rFonts w:eastAsia="仿宋"/>
          <w:spacing w:val="-45"/>
        </w:rPr>
        <w:t xml:space="preserve"> </w:t>
      </w:r>
      <w:r>
        <w:rPr>
          <w:rFonts w:eastAsia="仿宋"/>
          <w:spacing w:val="-5"/>
        </w:rPr>
        <w:t>3</w:t>
      </w:r>
    </w:p>
    <w:tbl>
      <w:tblPr>
        <w:tblStyle w:val="239"/>
        <w:tblW w:w="886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955"/>
        <w:gridCol w:w="2951"/>
        <w:gridCol w:w="2956"/>
      </w:tblGrid>
      <w:tr w14:paraId="566AE9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trPr>
        <w:tc>
          <w:tcPr>
            <w:tcW w:w="2955" w:type="dxa"/>
            <w:vMerge w:val="restart"/>
            <w:tcBorders>
              <w:bottom w:val="nil"/>
            </w:tcBorders>
          </w:tcPr>
          <w:p w14:paraId="752B0C91">
            <w:pPr>
              <w:spacing w:line="277" w:lineRule="auto"/>
              <w:rPr>
                <w:rFonts w:ascii="Arial" w:hAnsi="Arial" w:eastAsia="仿宋" w:cs="Arial"/>
                <w:szCs w:val="21"/>
              </w:rPr>
            </w:pPr>
          </w:p>
          <w:p w14:paraId="0F8E1921">
            <w:pPr>
              <w:pStyle w:val="240"/>
              <w:spacing w:before="78" w:line="219" w:lineRule="auto"/>
              <w:ind w:left="646"/>
              <w:rPr>
                <w:rFonts w:ascii="Times New Roman" w:hAnsi="Times New Roman" w:eastAsia="仿宋"/>
                <w:sz w:val="21"/>
                <w:szCs w:val="21"/>
              </w:rPr>
            </w:pPr>
            <w:r>
              <w:rPr>
                <w:rFonts w:ascii="Times New Roman" w:hAnsi="Times New Roman" w:eastAsia="仿宋"/>
                <w:spacing w:val="-1"/>
                <w:sz w:val="21"/>
                <w:szCs w:val="21"/>
              </w:rPr>
              <w:t>标称尺寸  a/mm</w:t>
            </w:r>
          </w:p>
        </w:tc>
        <w:tc>
          <w:tcPr>
            <w:tcW w:w="5907" w:type="dxa"/>
            <w:gridSpan w:val="2"/>
          </w:tcPr>
          <w:p w14:paraId="5966C39B">
            <w:pPr>
              <w:pStyle w:val="240"/>
              <w:spacing w:before="117" w:line="219" w:lineRule="auto"/>
              <w:ind w:left="2498"/>
              <w:rPr>
                <w:rFonts w:ascii="Times New Roman" w:hAnsi="Times New Roman" w:eastAsia="仿宋"/>
                <w:sz w:val="21"/>
                <w:szCs w:val="21"/>
              </w:rPr>
            </w:pPr>
            <w:r>
              <w:rPr>
                <w:rFonts w:ascii="Times New Roman" w:hAnsi="Times New Roman" w:eastAsia="仿宋"/>
                <w:spacing w:val="-6"/>
                <w:sz w:val="21"/>
                <w:szCs w:val="21"/>
              </w:rPr>
              <w:t>圆角半径</w:t>
            </w:r>
          </w:p>
        </w:tc>
      </w:tr>
      <w:tr w14:paraId="0703DB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2955" w:type="dxa"/>
            <w:vMerge w:val="continue"/>
            <w:tcBorders>
              <w:top w:val="nil"/>
            </w:tcBorders>
          </w:tcPr>
          <w:p w14:paraId="5E7E45F7">
            <w:pPr>
              <w:rPr>
                <w:rFonts w:ascii="Arial" w:hAnsi="Arial" w:eastAsia="仿宋" w:cs="Arial"/>
                <w:szCs w:val="21"/>
              </w:rPr>
            </w:pPr>
          </w:p>
        </w:tc>
        <w:tc>
          <w:tcPr>
            <w:tcW w:w="2951" w:type="dxa"/>
          </w:tcPr>
          <w:p w14:paraId="2D4F10AA">
            <w:pPr>
              <w:pStyle w:val="240"/>
              <w:spacing w:before="112" w:line="220" w:lineRule="auto"/>
              <w:ind w:left="943"/>
              <w:rPr>
                <w:rFonts w:ascii="Times New Roman" w:hAnsi="Times New Roman" w:eastAsia="仿宋"/>
                <w:sz w:val="21"/>
                <w:szCs w:val="21"/>
              </w:rPr>
            </w:pPr>
            <w:r>
              <w:rPr>
                <w:rFonts w:ascii="Times New Roman" w:hAnsi="Times New Roman" w:eastAsia="仿宋"/>
                <w:spacing w:val="-2"/>
                <w:sz w:val="21"/>
                <w:szCs w:val="21"/>
              </w:rPr>
              <w:t>标称值/mm</w:t>
            </w:r>
          </w:p>
        </w:tc>
        <w:tc>
          <w:tcPr>
            <w:tcW w:w="2956" w:type="dxa"/>
          </w:tcPr>
          <w:p w14:paraId="4D3F0DDE">
            <w:pPr>
              <w:pStyle w:val="240"/>
              <w:spacing w:before="112" w:line="220" w:lineRule="auto"/>
              <w:ind w:left="1124"/>
              <w:rPr>
                <w:rFonts w:ascii="Times New Roman" w:hAnsi="Times New Roman" w:eastAsia="仿宋"/>
                <w:sz w:val="21"/>
                <w:szCs w:val="21"/>
              </w:rPr>
            </w:pPr>
            <w:r>
              <w:rPr>
                <w:rFonts w:ascii="Times New Roman" w:hAnsi="Times New Roman" w:eastAsia="仿宋"/>
                <w:spacing w:val="-3"/>
                <w:sz w:val="21"/>
                <w:szCs w:val="21"/>
              </w:rPr>
              <w:t>偏差/%</w:t>
            </w:r>
          </w:p>
        </w:tc>
      </w:tr>
      <w:tr w14:paraId="461A7A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2955" w:type="dxa"/>
          </w:tcPr>
          <w:p w14:paraId="3A1280B6">
            <w:pPr>
              <w:pStyle w:val="240"/>
              <w:spacing w:before="113" w:line="236" w:lineRule="auto"/>
              <w:ind w:left="1066"/>
              <w:rPr>
                <w:rFonts w:ascii="Times New Roman" w:hAnsi="Times New Roman" w:eastAsia="仿宋"/>
                <w:sz w:val="21"/>
                <w:szCs w:val="21"/>
              </w:rPr>
            </w:pPr>
            <w:r>
              <w:rPr>
                <w:rFonts w:ascii="Times New Roman" w:hAnsi="Times New Roman" w:eastAsia="仿宋"/>
                <w:spacing w:val="-2"/>
                <w:sz w:val="21"/>
                <w:szCs w:val="21"/>
              </w:rPr>
              <w:t>a≤1.00</w:t>
            </w:r>
          </w:p>
        </w:tc>
        <w:tc>
          <w:tcPr>
            <w:tcW w:w="2951" w:type="dxa"/>
          </w:tcPr>
          <w:p w14:paraId="72E09AC9">
            <w:pPr>
              <w:pStyle w:val="240"/>
              <w:spacing w:before="114" w:line="222" w:lineRule="auto"/>
              <w:ind w:left="1164"/>
              <w:rPr>
                <w:rFonts w:ascii="Times New Roman" w:hAnsi="Times New Roman" w:eastAsia="仿宋"/>
                <w:sz w:val="21"/>
                <w:szCs w:val="21"/>
              </w:rPr>
            </w:pPr>
            <w:r>
              <w:rPr>
                <w:rFonts w:ascii="Times New Roman" w:hAnsi="Times New Roman" w:eastAsia="仿宋"/>
                <w:spacing w:val="-8"/>
                <w:sz w:val="21"/>
                <w:szCs w:val="21"/>
              </w:rPr>
              <w:t>(1/2)a</w:t>
            </w:r>
          </w:p>
        </w:tc>
        <w:tc>
          <w:tcPr>
            <w:tcW w:w="2956" w:type="dxa"/>
          </w:tcPr>
          <w:p w14:paraId="2D9EF49A">
            <w:pPr>
              <w:pStyle w:val="240"/>
              <w:spacing w:before="228" w:line="161" w:lineRule="exact"/>
              <w:ind w:left="1422"/>
              <w:rPr>
                <w:rFonts w:ascii="Times New Roman" w:hAnsi="Times New Roman" w:eastAsia="仿宋"/>
                <w:sz w:val="21"/>
                <w:szCs w:val="21"/>
              </w:rPr>
            </w:pPr>
            <w:r>
              <w:rPr>
                <w:rFonts w:ascii="Times New Roman" w:hAnsi="Times New Roman" w:eastAsia="仿宋"/>
                <w:position w:val="-12"/>
                <w:sz w:val="21"/>
                <w:szCs w:val="21"/>
              </w:rPr>
              <w:t>-</w:t>
            </w:r>
          </w:p>
        </w:tc>
      </w:tr>
      <w:tr w14:paraId="160BCF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4" w:hRule="atLeast"/>
        </w:trPr>
        <w:tc>
          <w:tcPr>
            <w:tcW w:w="2955" w:type="dxa"/>
          </w:tcPr>
          <w:p w14:paraId="00E80545">
            <w:pPr>
              <w:pStyle w:val="240"/>
              <w:spacing w:before="116" w:line="236" w:lineRule="auto"/>
              <w:ind w:left="722"/>
              <w:rPr>
                <w:rFonts w:ascii="Times New Roman" w:hAnsi="Times New Roman" w:eastAsia="仿宋"/>
                <w:sz w:val="21"/>
                <w:szCs w:val="21"/>
              </w:rPr>
            </w:pPr>
            <w:r>
              <w:rPr>
                <w:rFonts w:ascii="Times New Roman" w:hAnsi="Times New Roman" w:eastAsia="仿宋"/>
                <w:spacing w:val="-3"/>
                <w:sz w:val="21"/>
                <w:szCs w:val="21"/>
              </w:rPr>
              <w:t>1.00＜a≤1.60</w:t>
            </w:r>
          </w:p>
        </w:tc>
        <w:tc>
          <w:tcPr>
            <w:tcW w:w="2951" w:type="dxa"/>
          </w:tcPr>
          <w:p w14:paraId="601ED625">
            <w:pPr>
              <w:pStyle w:val="240"/>
              <w:spacing w:before="100" w:line="225" w:lineRule="auto"/>
              <w:ind w:left="1273"/>
              <w:rPr>
                <w:rFonts w:ascii="Times New Roman" w:hAnsi="Times New Roman" w:eastAsia="仿宋"/>
                <w:sz w:val="21"/>
                <w:szCs w:val="21"/>
              </w:rPr>
            </w:pPr>
            <w:r>
              <w:rPr>
                <w:rFonts w:ascii="Times New Roman" w:hAnsi="Times New Roman" w:eastAsia="仿宋"/>
                <w:spacing w:val="-3"/>
                <w:position w:val="-1"/>
                <w:sz w:val="21"/>
                <w:szCs w:val="21"/>
              </w:rPr>
              <w:t>0.5</w:t>
            </w:r>
            <w:r>
              <w:rPr>
                <w:rFonts w:ascii="Times New Roman" w:hAnsi="Times New Roman" w:eastAsia="仿宋"/>
                <w:spacing w:val="-3"/>
                <w:position w:val="10"/>
                <w:sz w:val="21"/>
                <w:szCs w:val="21"/>
              </w:rPr>
              <w:t>a</w:t>
            </w:r>
          </w:p>
        </w:tc>
        <w:tc>
          <w:tcPr>
            <w:tcW w:w="2956" w:type="dxa"/>
          </w:tcPr>
          <w:p w14:paraId="1A0A3E7C">
            <w:pPr>
              <w:pStyle w:val="240"/>
              <w:spacing w:before="117" w:line="235" w:lineRule="auto"/>
              <w:ind w:left="1272"/>
              <w:rPr>
                <w:rFonts w:ascii="Times New Roman" w:hAnsi="Times New Roman" w:eastAsia="仿宋"/>
                <w:sz w:val="21"/>
                <w:szCs w:val="21"/>
              </w:rPr>
            </w:pPr>
            <w:r>
              <w:rPr>
                <w:rFonts w:ascii="Times New Roman" w:hAnsi="Times New Roman" w:eastAsia="仿宋"/>
                <w:spacing w:val="-13"/>
                <w:sz w:val="21"/>
                <w:szCs w:val="21"/>
              </w:rPr>
              <w:t>±25</w:t>
            </w:r>
          </w:p>
        </w:tc>
      </w:tr>
      <w:tr w14:paraId="4CB9152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2955" w:type="dxa"/>
          </w:tcPr>
          <w:p w14:paraId="5E1E5AED">
            <w:pPr>
              <w:pStyle w:val="240"/>
              <w:spacing w:before="115" w:line="236" w:lineRule="auto"/>
              <w:ind w:left="722"/>
              <w:rPr>
                <w:rFonts w:ascii="Times New Roman" w:hAnsi="Times New Roman" w:eastAsia="仿宋"/>
                <w:sz w:val="21"/>
                <w:szCs w:val="21"/>
              </w:rPr>
            </w:pPr>
            <w:r>
              <w:rPr>
                <w:rFonts w:ascii="Times New Roman" w:hAnsi="Times New Roman" w:eastAsia="仿宋"/>
                <w:spacing w:val="-3"/>
                <w:sz w:val="21"/>
                <w:szCs w:val="21"/>
              </w:rPr>
              <w:t>1.60＜a≤2.24</w:t>
            </w:r>
          </w:p>
        </w:tc>
        <w:tc>
          <w:tcPr>
            <w:tcW w:w="2951" w:type="dxa"/>
          </w:tcPr>
          <w:p w14:paraId="4D932EE2">
            <w:pPr>
              <w:pStyle w:val="240"/>
              <w:spacing w:before="98" w:line="225" w:lineRule="auto"/>
              <w:ind w:left="1213"/>
              <w:rPr>
                <w:rFonts w:ascii="Times New Roman" w:hAnsi="Times New Roman" w:eastAsia="仿宋"/>
                <w:sz w:val="21"/>
                <w:szCs w:val="21"/>
              </w:rPr>
            </w:pPr>
            <w:r>
              <w:rPr>
                <w:rFonts w:ascii="Times New Roman" w:hAnsi="Times New Roman" w:eastAsia="仿宋"/>
                <w:spacing w:val="-3"/>
                <w:position w:val="-1"/>
                <w:sz w:val="21"/>
                <w:szCs w:val="21"/>
              </w:rPr>
              <w:t>0.65</w:t>
            </w:r>
            <w:r>
              <w:rPr>
                <w:rFonts w:ascii="Times New Roman" w:hAnsi="Times New Roman" w:eastAsia="仿宋"/>
                <w:spacing w:val="-3"/>
                <w:position w:val="10"/>
                <w:sz w:val="21"/>
                <w:szCs w:val="21"/>
              </w:rPr>
              <w:t>b</w:t>
            </w:r>
          </w:p>
        </w:tc>
        <w:tc>
          <w:tcPr>
            <w:tcW w:w="2956" w:type="dxa"/>
          </w:tcPr>
          <w:p w14:paraId="227A6673">
            <w:pPr>
              <w:pStyle w:val="240"/>
              <w:spacing w:before="115" w:line="235" w:lineRule="auto"/>
              <w:ind w:left="1272"/>
              <w:rPr>
                <w:rFonts w:ascii="Times New Roman" w:hAnsi="Times New Roman" w:eastAsia="仿宋"/>
                <w:sz w:val="21"/>
                <w:szCs w:val="21"/>
              </w:rPr>
            </w:pPr>
            <w:r>
              <w:rPr>
                <w:rFonts w:ascii="Times New Roman" w:hAnsi="Times New Roman" w:eastAsia="仿宋"/>
                <w:spacing w:val="-13"/>
                <w:sz w:val="21"/>
                <w:szCs w:val="21"/>
              </w:rPr>
              <w:t>±25</w:t>
            </w:r>
          </w:p>
        </w:tc>
      </w:tr>
      <w:tr w14:paraId="544C96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2955" w:type="dxa"/>
          </w:tcPr>
          <w:p w14:paraId="736D6F07">
            <w:pPr>
              <w:pStyle w:val="240"/>
              <w:spacing w:before="116" w:line="236" w:lineRule="auto"/>
              <w:ind w:left="707"/>
              <w:rPr>
                <w:rFonts w:ascii="Times New Roman" w:hAnsi="Times New Roman" w:eastAsia="仿宋"/>
                <w:sz w:val="21"/>
                <w:szCs w:val="21"/>
              </w:rPr>
            </w:pPr>
            <w:r>
              <w:rPr>
                <w:rFonts w:ascii="Times New Roman" w:hAnsi="Times New Roman" w:eastAsia="仿宋"/>
                <w:spacing w:val="-2"/>
                <w:sz w:val="21"/>
                <w:szCs w:val="21"/>
              </w:rPr>
              <w:t>2.24＜a≤3.55</w:t>
            </w:r>
          </w:p>
        </w:tc>
        <w:tc>
          <w:tcPr>
            <w:tcW w:w="2951" w:type="dxa"/>
          </w:tcPr>
          <w:p w14:paraId="48495508">
            <w:pPr>
              <w:pStyle w:val="240"/>
              <w:spacing w:before="157" w:line="181" w:lineRule="auto"/>
              <w:ind w:left="1244"/>
              <w:rPr>
                <w:rFonts w:ascii="Times New Roman" w:hAnsi="Times New Roman" w:eastAsia="仿宋"/>
                <w:sz w:val="21"/>
                <w:szCs w:val="21"/>
              </w:rPr>
            </w:pPr>
            <w:r>
              <w:rPr>
                <w:rFonts w:ascii="Times New Roman" w:hAnsi="Times New Roman" w:eastAsia="仿宋"/>
                <w:spacing w:val="-3"/>
                <w:sz w:val="21"/>
                <w:szCs w:val="21"/>
              </w:rPr>
              <w:t>0.80</w:t>
            </w:r>
          </w:p>
        </w:tc>
        <w:tc>
          <w:tcPr>
            <w:tcW w:w="2956" w:type="dxa"/>
          </w:tcPr>
          <w:p w14:paraId="404FE68D">
            <w:pPr>
              <w:pStyle w:val="240"/>
              <w:spacing w:before="117" w:line="235" w:lineRule="auto"/>
              <w:ind w:left="1272"/>
              <w:rPr>
                <w:rFonts w:ascii="Times New Roman" w:hAnsi="Times New Roman" w:eastAsia="仿宋"/>
                <w:sz w:val="21"/>
                <w:szCs w:val="21"/>
              </w:rPr>
            </w:pPr>
            <w:r>
              <w:rPr>
                <w:rFonts w:ascii="Times New Roman" w:hAnsi="Times New Roman" w:eastAsia="仿宋"/>
                <w:spacing w:val="-13"/>
                <w:sz w:val="21"/>
                <w:szCs w:val="21"/>
              </w:rPr>
              <w:t>±25</w:t>
            </w:r>
          </w:p>
        </w:tc>
      </w:tr>
      <w:tr w14:paraId="0A6C3B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6" w:hRule="atLeast"/>
        </w:trPr>
        <w:tc>
          <w:tcPr>
            <w:tcW w:w="2955" w:type="dxa"/>
          </w:tcPr>
          <w:p w14:paraId="19358556">
            <w:pPr>
              <w:pStyle w:val="240"/>
              <w:spacing w:before="117" w:line="239" w:lineRule="auto"/>
              <w:ind w:left="1066"/>
              <w:rPr>
                <w:rFonts w:ascii="Times New Roman" w:hAnsi="Times New Roman" w:eastAsia="仿宋"/>
                <w:sz w:val="21"/>
                <w:szCs w:val="21"/>
              </w:rPr>
            </w:pPr>
            <w:r>
              <w:rPr>
                <w:rFonts w:ascii="Times New Roman" w:hAnsi="Times New Roman" w:eastAsia="仿宋"/>
                <w:spacing w:val="-2"/>
                <w:sz w:val="21"/>
                <w:szCs w:val="21"/>
              </w:rPr>
              <w:t>a＞3.55</w:t>
            </w:r>
          </w:p>
        </w:tc>
        <w:tc>
          <w:tcPr>
            <w:tcW w:w="2951" w:type="dxa"/>
          </w:tcPr>
          <w:p w14:paraId="354904DE">
            <w:pPr>
              <w:pStyle w:val="240"/>
              <w:spacing w:before="156" w:line="182" w:lineRule="auto"/>
              <w:ind w:left="1260"/>
              <w:rPr>
                <w:rFonts w:ascii="Times New Roman" w:hAnsi="Times New Roman" w:eastAsia="仿宋"/>
                <w:sz w:val="21"/>
                <w:szCs w:val="21"/>
              </w:rPr>
            </w:pPr>
            <w:r>
              <w:rPr>
                <w:rFonts w:ascii="Times New Roman" w:hAnsi="Times New Roman" w:eastAsia="仿宋"/>
                <w:spacing w:val="-6"/>
                <w:sz w:val="21"/>
                <w:szCs w:val="21"/>
              </w:rPr>
              <w:t>1.00</w:t>
            </w:r>
          </w:p>
        </w:tc>
        <w:tc>
          <w:tcPr>
            <w:tcW w:w="2956" w:type="dxa"/>
          </w:tcPr>
          <w:p w14:paraId="4D4C7D35">
            <w:pPr>
              <w:pStyle w:val="240"/>
              <w:spacing w:before="117" w:line="235" w:lineRule="auto"/>
              <w:ind w:left="1272"/>
              <w:rPr>
                <w:rFonts w:ascii="Times New Roman" w:hAnsi="Times New Roman" w:eastAsia="仿宋"/>
                <w:sz w:val="21"/>
                <w:szCs w:val="21"/>
              </w:rPr>
            </w:pPr>
            <w:r>
              <w:rPr>
                <w:rFonts w:ascii="Times New Roman" w:hAnsi="Times New Roman" w:eastAsia="仿宋"/>
                <w:spacing w:val="-13"/>
                <w:sz w:val="21"/>
                <w:szCs w:val="21"/>
              </w:rPr>
              <w:t>±25</w:t>
            </w:r>
          </w:p>
        </w:tc>
      </w:tr>
    </w:tbl>
    <w:p w14:paraId="0CBF423D">
      <w:pPr>
        <w:topLinePunct/>
        <w:spacing w:line="312" w:lineRule="exact"/>
        <w:rPr>
          <w:rFonts w:ascii="EU-F1"/>
          <w:snapToGrid w:val="0"/>
          <w:szCs w:val="21"/>
        </w:rPr>
      </w:pPr>
      <w:r>
        <w:rPr>
          <w:rFonts w:hint="eastAsia" w:ascii="EU-F1"/>
          <w:snapToGrid w:val="0"/>
          <w:szCs w:val="21"/>
        </w:rPr>
        <w:t>5.2.4纸绝缘厚度</w:t>
      </w:r>
    </w:p>
    <w:p w14:paraId="61ED02C4">
      <w:pPr>
        <w:topLinePunct/>
        <w:spacing w:line="312" w:lineRule="exact"/>
        <w:ind w:firstLine="420" w:firstLineChars="200"/>
        <w:rPr>
          <w:rFonts w:ascii="EU-F1"/>
          <w:snapToGrid w:val="0"/>
          <w:szCs w:val="21"/>
        </w:rPr>
      </w:pPr>
      <w:r>
        <w:rPr>
          <w:rFonts w:ascii="EU-F1"/>
          <w:snapToGrid w:val="0"/>
          <w:szCs w:val="21"/>
        </w:rPr>
        <w:t>纸绝缘厚度及纸带宽度应符合供需双方协商的规定，且负公差不应超过表 4中规定值。</w:t>
      </w:r>
    </w:p>
    <w:p w14:paraId="5C8FFD75">
      <w:pPr>
        <w:pStyle w:val="17"/>
        <w:spacing w:before="34" w:line="221" w:lineRule="auto"/>
        <w:jc w:val="center"/>
        <w:rPr>
          <w:rFonts w:eastAsia="仿宋"/>
        </w:rPr>
      </w:pPr>
      <w:r>
        <w:rPr>
          <w:rFonts w:eastAsia="仿宋"/>
          <w:spacing w:val="-5"/>
        </w:rPr>
        <w:t>表</w:t>
      </w:r>
      <w:r>
        <w:rPr>
          <w:rFonts w:eastAsia="仿宋"/>
          <w:spacing w:val="-51"/>
        </w:rPr>
        <w:t xml:space="preserve"> </w:t>
      </w:r>
      <w:r>
        <w:rPr>
          <w:rFonts w:eastAsia="仿宋"/>
          <w:spacing w:val="-5"/>
        </w:rPr>
        <w:t>4</w:t>
      </w:r>
    </w:p>
    <w:p w14:paraId="1AFB4CB2">
      <w:pPr>
        <w:spacing w:line="68" w:lineRule="exact"/>
        <w:rPr>
          <w:rFonts w:eastAsia="仿宋"/>
          <w:szCs w:val="21"/>
        </w:rPr>
      </w:pPr>
    </w:p>
    <w:tbl>
      <w:tblPr>
        <w:tblStyle w:val="239"/>
        <w:tblW w:w="886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955"/>
        <w:gridCol w:w="2951"/>
        <w:gridCol w:w="2956"/>
      </w:tblGrid>
      <w:tr w14:paraId="111C5E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trPr>
        <w:tc>
          <w:tcPr>
            <w:tcW w:w="5906" w:type="dxa"/>
            <w:gridSpan w:val="2"/>
          </w:tcPr>
          <w:p w14:paraId="35B9FE50">
            <w:pPr>
              <w:pStyle w:val="240"/>
              <w:spacing w:before="117" w:line="220" w:lineRule="auto"/>
              <w:ind w:left="2182"/>
              <w:rPr>
                <w:rFonts w:ascii="Times New Roman" w:hAnsi="Times New Roman" w:eastAsia="仿宋"/>
                <w:sz w:val="21"/>
                <w:szCs w:val="21"/>
              </w:rPr>
            </w:pPr>
            <w:r>
              <w:rPr>
                <w:rFonts w:ascii="Times New Roman" w:hAnsi="Times New Roman" w:eastAsia="仿宋"/>
                <w:spacing w:val="-2"/>
                <w:sz w:val="21"/>
                <w:szCs w:val="21"/>
              </w:rPr>
              <w:t>纸绝缘厚度/mm</w:t>
            </w:r>
          </w:p>
        </w:tc>
        <w:tc>
          <w:tcPr>
            <w:tcW w:w="2956" w:type="dxa"/>
            <w:vMerge w:val="restart"/>
            <w:tcBorders>
              <w:bottom w:val="nil"/>
            </w:tcBorders>
          </w:tcPr>
          <w:p w14:paraId="3B5E1F00">
            <w:pPr>
              <w:spacing w:line="277" w:lineRule="auto"/>
              <w:rPr>
                <w:rFonts w:ascii="Arial" w:hAnsi="Arial" w:eastAsia="仿宋" w:cs="Arial"/>
                <w:szCs w:val="21"/>
              </w:rPr>
            </w:pPr>
          </w:p>
          <w:p w14:paraId="24D817F8">
            <w:pPr>
              <w:pStyle w:val="240"/>
              <w:spacing w:before="78" w:line="220" w:lineRule="auto"/>
              <w:ind w:left="1124"/>
              <w:rPr>
                <w:rFonts w:ascii="Times New Roman" w:hAnsi="Times New Roman" w:eastAsia="仿宋"/>
                <w:sz w:val="21"/>
                <w:szCs w:val="21"/>
              </w:rPr>
            </w:pPr>
            <w:r>
              <w:rPr>
                <w:rFonts w:ascii="Times New Roman" w:hAnsi="Times New Roman" w:eastAsia="仿宋"/>
                <w:spacing w:val="-3"/>
                <w:sz w:val="21"/>
                <w:szCs w:val="21"/>
              </w:rPr>
              <w:t>偏差/%</w:t>
            </w:r>
          </w:p>
        </w:tc>
      </w:tr>
      <w:tr w14:paraId="7DC78F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5" w:hRule="atLeast"/>
        </w:trPr>
        <w:tc>
          <w:tcPr>
            <w:tcW w:w="2955" w:type="dxa"/>
          </w:tcPr>
          <w:p w14:paraId="085609CB">
            <w:pPr>
              <w:pStyle w:val="240"/>
              <w:spacing w:before="116" w:line="220" w:lineRule="auto"/>
              <w:ind w:left="1247"/>
              <w:rPr>
                <w:rFonts w:ascii="Times New Roman" w:hAnsi="Times New Roman" w:eastAsia="仿宋"/>
                <w:sz w:val="21"/>
                <w:szCs w:val="21"/>
              </w:rPr>
            </w:pPr>
            <w:r>
              <w:rPr>
                <w:rFonts w:ascii="Times New Roman" w:hAnsi="Times New Roman" w:eastAsia="仿宋"/>
                <w:spacing w:val="-4"/>
                <w:sz w:val="21"/>
                <w:szCs w:val="21"/>
              </w:rPr>
              <w:t>大于</w:t>
            </w:r>
          </w:p>
        </w:tc>
        <w:tc>
          <w:tcPr>
            <w:tcW w:w="2951" w:type="dxa"/>
          </w:tcPr>
          <w:p w14:paraId="67C2669E">
            <w:pPr>
              <w:pStyle w:val="240"/>
              <w:spacing w:before="115" w:line="220" w:lineRule="auto"/>
              <w:ind w:left="890"/>
              <w:rPr>
                <w:rFonts w:ascii="Times New Roman" w:hAnsi="Times New Roman" w:eastAsia="仿宋"/>
                <w:sz w:val="21"/>
                <w:szCs w:val="21"/>
              </w:rPr>
            </w:pPr>
            <w:r>
              <w:rPr>
                <w:rFonts w:ascii="Times New Roman" w:hAnsi="Times New Roman" w:eastAsia="仿宋"/>
                <w:spacing w:val="-3"/>
                <w:sz w:val="21"/>
                <w:szCs w:val="21"/>
              </w:rPr>
              <w:t>小于或等于</w:t>
            </w:r>
          </w:p>
        </w:tc>
        <w:tc>
          <w:tcPr>
            <w:tcW w:w="2956" w:type="dxa"/>
            <w:vMerge w:val="continue"/>
            <w:tcBorders>
              <w:top w:val="nil"/>
            </w:tcBorders>
          </w:tcPr>
          <w:p w14:paraId="27E7AC3E">
            <w:pPr>
              <w:rPr>
                <w:rFonts w:ascii="Arial" w:hAnsi="Arial" w:eastAsia="仿宋" w:cs="Arial"/>
                <w:szCs w:val="21"/>
              </w:rPr>
            </w:pPr>
          </w:p>
        </w:tc>
      </w:tr>
      <w:tr w14:paraId="678C04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7" w:hRule="atLeast"/>
        </w:trPr>
        <w:tc>
          <w:tcPr>
            <w:tcW w:w="2955" w:type="dxa"/>
          </w:tcPr>
          <w:p w14:paraId="6BCABF33">
            <w:pPr>
              <w:pStyle w:val="240"/>
              <w:spacing w:before="227" w:line="162" w:lineRule="exact"/>
              <w:ind w:left="1423"/>
              <w:rPr>
                <w:rFonts w:ascii="Times New Roman" w:hAnsi="Times New Roman" w:eastAsia="仿宋"/>
                <w:sz w:val="21"/>
                <w:szCs w:val="21"/>
                <w:lang w:eastAsia="zh-CN"/>
              </w:rPr>
            </w:pPr>
            <w:r>
              <w:rPr>
                <w:rFonts w:ascii="Times New Roman" w:hAnsi="Times New Roman" w:eastAsia="仿宋"/>
                <w:position w:val="-12"/>
                <w:sz w:val="21"/>
                <w:szCs w:val="21"/>
              </w:rPr>
              <w:t>-</w:t>
            </w:r>
            <w:r>
              <w:rPr>
                <w:rFonts w:hint="eastAsia" w:ascii="Times New Roman" w:hAnsi="Times New Roman" w:eastAsia="仿宋"/>
                <w:position w:val="-12"/>
                <w:sz w:val="21"/>
                <w:szCs w:val="21"/>
                <w:lang w:eastAsia="zh-CN"/>
              </w:rPr>
              <w:t>=</w:t>
            </w:r>
          </w:p>
        </w:tc>
        <w:tc>
          <w:tcPr>
            <w:tcW w:w="2951" w:type="dxa"/>
          </w:tcPr>
          <w:p w14:paraId="5C15FC0A">
            <w:pPr>
              <w:pStyle w:val="240"/>
              <w:spacing w:before="154" w:line="181" w:lineRule="auto"/>
              <w:ind w:left="1244"/>
              <w:rPr>
                <w:rFonts w:ascii="Times New Roman" w:hAnsi="Times New Roman" w:eastAsia="仿宋"/>
                <w:sz w:val="21"/>
                <w:szCs w:val="21"/>
              </w:rPr>
            </w:pPr>
            <w:r>
              <w:rPr>
                <w:rFonts w:ascii="Times New Roman" w:hAnsi="Times New Roman" w:eastAsia="仿宋"/>
                <w:spacing w:val="-3"/>
                <w:sz w:val="21"/>
                <w:szCs w:val="21"/>
              </w:rPr>
              <w:t>0.50</w:t>
            </w:r>
          </w:p>
        </w:tc>
        <w:tc>
          <w:tcPr>
            <w:tcW w:w="2956" w:type="dxa"/>
            <w:vAlign w:val="center"/>
          </w:tcPr>
          <w:p w14:paraId="5272F6DB">
            <w:pPr>
              <w:pStyle w:val="240"/>
              <w:spacing w:before="152" w:line="183" w:lineRule="auto"/>
              <w:jc w:val="center"/>
              <w:rPr>
                <w:rFonts w:ascii="Times New Roman" w:hAnsi="Times New Roman" w:eastAsia="仿宋"/>
                <w:spacing w:val="-2"/>
                <w:sz w:val="21"/>
                <w:szCs w:val="21"/>
                <w:lang w:eastAsia="zh-CN"/>
              </w:rPr>
            </w:pPr>
            <w:r>
              <w:rPr>
                <w:rFonts w:hint="eastAsia" w:ascii="Times New Roman" w:hAnsi="Times New Roman" w:eastAsia="仿宋"/>
                <w:spacing w:val="-2"/>
                <w:sz w:val="21"/>
                <w:szCs w:val="21"/>
                <w:lang w:eastAsia="zh-CN"/>
              </w:rPr>
              <w:t>-10</w:t>
            </w:r>
          </w:p>
          <w:p w14:paraId="1F7506A1">
            <w:pPr>
              <w:pStyle w:val="240"/>
              <w:spacing w:before="152" w:line="183" w:lineRule="auto"/>
              <w:jc w:val="center"/>
              <w:rPr>
                <w:rFonts w:ascii="Times New Roman" w:hAnsi="Times New Roman" w:eastAsia="仿宋"/>
                <w:sz w:val="21"/>
                <w:szCs w:val="21"/>
              </w:rPr>
            </w:pPr>
            <w:r>
              <w:rPr>
                <w:rFonts w:hint="eastAsia" w:ascii="Times New Roman" w:hAnsi="Times New Roman" w:eastAsia="仿宋"/>
                <w:spacing w:val="-2"/>
                <w:sz w:val="21"/>
                <w:szCs w:val="21"/>
                <w:lang w:eastAsia="zh-CN"/>
              </w:rPr>
              <w:t>0</w:t>
            </w:r>
          </w:p>
        </w:tc>
      </w:tr>
      <w:tr w14:paraId="379CB9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7" w:hRule="atLeast"/>
        </w:trPr>
        <w:tc>
          <w:tcPr>
            <w:tcW w:w="2955" w:type="dxa"/>
          </w:tcPr>
          <w:p w14:paraId="0195EE02">
            <w:pPr>
              <w:pStyle w:val="240"/>
              <w:spacing w:before="155" w:line="181" w:lineRule="auto"/>
              <w:ind w:left="1246"/>
              <w:rPr>
                <w:rFonts w:ascii="Times New Roman" w:hAnsi="Times New Roman" w:eastAsia="仿宋"/>
                <w:sz w:val="21"/>
                <w:szCs w:val="21"/>
              </w:rPr>
            </w:pPr>
            <w:r>
              <w:rPr>
                <w:rFonts w:ascii="Times New Roman" w:hAnsi="Times New Roman" w:eastAsia="仿宋"/>
                <w:spacing w:val="-3"/>
                <w:sz w:val="21"/>
                <w:szCs w:val="21"/>
              </w:rPr>
              <w:t>0.50</w:t>
            </w:r>
          </w:p>
        </w:tc>
        <w:tc>
          <w:tcPr>
            <w:tcW w:w="2951" w:type="dxa"/>
          </w:tcPr>
          <w:p w14:paraId="6FD88316">
            <w:pPr>
              <w:pStyle w:val="240"/>
              <w:spacing w:before="154" w:line="182" w:lineRule="auto"/>
              <w:ind w:left="1260"/>
              <w:rPr>
                <w:rFonts w:ascii="Times New Roman" w:hAnsi="Times New Roman" w:eastAsia="仿宋"/>
                <w:sz w:val="21"/>
                <w:szCs w:val="21"/>
              </w:rPr>
            </w:pPr>
            <w:r>
              <w:rPr>
                <w:rFonts w:ascii="Times New Roman" w:hAnsi="Times New Roman" w:eastAsia="仿宋"/>
                <w:spacing w:val="-6"/>
                <w:sz w:val="21"/>
                <w:szCs w:val="21"/>
              </w:rPr>
              <w:t>1.25</w:t>
            </w:r>
          </w:p>
        </w:tc>
        <w:tc>
          <w:tcPr>
            <w:tcW w:w="2956" w:type="dxa"/>
            <w:vAlign w:val="center"/>
          </w:tcPr>
          <w:p w14:paraId="6029E451">
            <w:pPr>
              <w:pStyle w:val="240"/>
              <w:spacing w:before="22" w:line="182" w:lineRule="auto"/>
              <w:jc w:val="center"/>
              <w:rPr>
                <w:rFonts w:ascii="Times New Roman" w:hAnsi="Times New Roman" w:eastAsia="仿宋"/>
                <w:sz w:val="21"/>
                <w:szCs w:val="21"/>
                <w:lang w:eastAsia="zh-CN"/>
              </w:rPr>
            </w:pPr>
            <w:r>
              <w:rPr>
                <w:rFonts w:hint="eastAsia" w:ascii="Times New Roman" w:hAnsi="Times New Roman" w:eastAsia="仿宋"/>
                <w:sz w:val="21"/>
                <w:szCs w:val="21"/>
                <w:lang w:eastAsia="zh-CN"/>
              </w:rPr>
              <w:t>-7.5</w:t>
            </w:r>
          </w:p>
          <w:p w14:paraId="4228F06F">
            <w:pPr>
              <w:pStyle w:val="240"/>
              <w:spacing w:before="22" w:line="182" w:lineRule="auto"/>
              <w:jc w:val="center"/>
              <w:rPr>
                <w:rFonts w:ascii="Times New Roman" w:hAnsi="Times New Roman" w:eastAsia="仿宋"/>
                <w:sz w:val="21"/>
                <w:szCs w:val="21"/>
                <w:lang w:eastAsia="zh-CN"/>
              </w:rPr>
            </w:pPr>
            <w:r>
              <w:rPr>
                <w:rFonts w:hint="eastAsia" w:ascii="Times New Roman" w:hAnsi="Times New Roman" w:eastAsia="仿宋"/>
                <w:sz w:val="21"/>
                <w:szCs w:val="21"/>
                <w:lang w:eastAsia="zh-CN"/>
              </w:rPr>
              <w:t>0</w:t>
            </w:r>
          </w:p>
        </w:tc>
      </w:tr>
      <w:tr w14:paraId="35E2F8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7" w:hRule="atLeast"/>
        </w:trPr>
        <w:tc>
          <w:tcPr>
            <w:tcW w:w="2955" w:type="dxa"/>
          </w:tcPr>
          <w:p w14:paraId="128821C9">
            <w:pPr>
              <w:pStyle w:val="240"/>
              <w:spacing w:before="156" w:line="182" w:lineRule="auto"/>
              <w:ind w:left="1262"/>
              <w:rPr>
                <w:rFonts w:ascii="Times New Roman" w:hAnsi="Times New Roman" w:eastAsia="仿宋"/>
                <w:sz w:val="21"/>
                <w:szCs w:val="21"/>
              </w:rPr>
            </w:pPr>
            <w:r>
              <w:rPr>
                <w:rFonts w:ascii="Times New Roman" w:hAnsi="Times New Roman" w:eastAsia="仿宋"/>
                <w:spacing w:val="-6"/>
                <w:sz w:val="21"/>
                <w:szCs w:val="21"/>
              </w:rPr>
              <w:t>1.25</w:t>
            </w:r>
          </w:p>
        </w:tc>
        <w:tc>
          <w:tcPr>
            <w:tcW w:w="2951" w:type="dxa"/>
          </w:tcPr>
          <w:p w14:paraId="0B84C648">
            <w:pPr>
              <w:pStyle w:val="240"/>
              <w:spacing w:before="231" w:line="161" w:lineRule="exact"/>
              <w:jc w:val="center"/>
              <w:rPr>
                <w:rFonts w:ascii="Times New Roman" w:hAnsi="Times New Roman" w:eastAsia="仿宋"/>
                <w:sz w:val="21"/>
                <w:szCs w:val="21"/>
                <w:lang w:eastAsia="zh-CN"/>
              </w:rPr>
            </w:pPr>
            <w:r>
              <w:rPr>
                <w:rFonts w:hint="eastAsia" w:ascii="Times New Roman" w:hAnsi="Times New Roman" w:eastAsia="仿宋"/>
                <w:position w:val="-12"/>
                <w:sz w:val="21"/>
                <w:szCs w:val="21"/>
                <w:lang w:eastAsia="zh-CN"/>
              </w:rPr>
              <w:t>-=</w:t>
            </w:r>
          </w:p>
        </w:tc>
        <w:tc>
          <w:tcPr>
            <w:tcW w:w="2956" w:type="dxa"/>
            <w:vAlign w:val="center"/>
          </w:tcPr>
          <w:p w14:paraId="7FB77CB6">
            <w:pPr>
              <w:pStyle w:val="240"/>
              <w:spacing w:before="22" w:line="182" w:lineRule="auto"/>
              <w:jc w:val="center"/>
              <w:rPr>
                <w:rFonts w:ascii="Times New Roman" w:hAnsi="Times New Roman" w:eastAsia="仿宋"/>
                <w:sz w:val="21"/>
                <w:szCs w:val="21"/>
                <w:lang w:eastAsia="zh-CN"/>
              </w:rPr>
            </w:pPr>
            <w:r>
              <w:rPr>
                <w:rFonts w:hint="eastAsia" w:ascii="Times New Roman" w:hAnsi="Times New Roman" w:eastAsia="仿宋"/>
                <w:sz w:val="21"/>
                <w:szCs w:val="21"/>
                <w:lang w:eastAsia="zh-CN"/>
              </w:rPr>
              <w:t>-5</w:t>
            </w:r>
          </w:p>
          <w:p w14:paraId="3D385A0A">
            <w:pPr>
              <w:pStyle w:val="240"/>
              <w:spacing w:before="22" w:line="182" w:lineRule="auto"/>
              <w:jc w:val="center"/>
              <w:rPr>
                <w:rFonts w:ascii="Times New Roman" w:hAnsi="Times New Roman" w:eastAsia="仿宋"/>
                <w:sz w:val="21"/>
                <w:szCs w:val="21"/>
                <w:lang w:eastAsia="zh-CN"/>
              </w:rPr>
            </w:pPr>
            <w:r>
              <w:rPr>
                <w:rFonts w:hint="eastAsia" w:ascii="Times New Roman" w:hAnsi="Times New Roman" w:eastAsia="仿宋"/>
                <w:sz w:val="21"/>
                <w:szCs w:val="21"/>
                <w:lang w:eastAsia="zh-CN"/>
              </w:rPr>
              <w:t>0</w:t>
            </w:r>
          </w:p>
        </w:tc>
      </w:tr>
      <w:tr w14:paraId="6A6DFF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trPr>
        <w:tc>
          <w:tcPr>
            <w:tcW w:w="8862" w:type="dxa"/>
            <w:gridSpan w:val="3"/>
          </w:tcPr>
          <w:p w14:paraId="5F5C13BC">
            <w:pPr>
              <w:pStyle w:val="240"/>
              <w:spacing w:before="148" w:line="219" w:lineRule="auto"/>
              <w:ind w:left="114"/>
              <w:rPr>
                <w:rFonts w:ascii="Times New Roman" w:hAnsi="Times New Roman" w:eastAsia="仿宋"/>
                <w:sz w:val="21"/>
                <w:szCs w:val="21"/>
                <w:lang w:eastAsia="zh-CN"/>
              </w:rPr>
            </w:pPr>
            <w:r>
              <w:rPr>
                <w:rFonts w:ascii="Times New Roman" w:hAnsi="Times New Roman" w:eastAsia="仿宋"/>
                <w:spacing w:val="-1"/>
                <w:sz w:val="21"/>
                <w:szCs w:val="21"/>
                <w:lang w:eastAsia="zh-CN"/>
              </w:rPr>
              <w:t>注：若最大外形尺寸没超过导体最大尺寸加上本规定的最大绝缘厚度，允许绝缘厚度超过规定值。</w:t>
            </w:r>
          </w:p>
        </w:tc>
      </w:tr>
    </w:tbl>
    <w:p w14:paraId="1964C785">
      <w:pPr>
        <w:topLinePunct/>
        <w:spacing w:line="312" w:lineRule="exact"/>
        <w:rPr>
          <w:rFonts w:ascii="EU-F1"/>
          <w:snapToGrid w:val="0"/>
          <w:szCs w:val="21"/>
        </w:rPr>
      </w:pPr>
      <w:r>
        <w:rPr>
          <w:rFonts w:hint="eastAsia" w:ascii="EU-F1"/>
          <w:snapToGrid w:val="0"/>
          <w:szCs w:val="21"/>
        </w:rPr>
        <w:t>5</w:t>
      </w:r>
      <w:r>
        <w:rPr>
          <w:rFonts w:ascii="EU-F1"/>
          <w:snapToGrid w:val="0"/>
          <w:szCs w:val="21"/>
        </w:rPr>
        <w:t>.2.5 最大外形尺寸</w:t>
      </w:r>
    </w:p>
    <w:p w14:paraId="4A470332">
      <w:pPr>
        <w:topLinePunct/>
        <w:spacing w:line="312" w:lineRule="exact"/>
        <w:ind w:firstLine="420" w:firstLineChars="200"/>
        <w:rPr>
          <w:rFonts w:ascii="EU-F1"/>
          <w:snapToGrid w:val="0"/>
          <w:szCs w:val="21"/>
        </w:rPr>
      </w:pPr>
      <w:r>
        <w:rPr>
          <w:rFonts w:ascii="EU-F1"/>
          <w:snapToGrid w:val="0"/>
          <w:szCs w:val="21"/>
        </w:rPr>
        <w:t xml:space="preserve">最大外形尺寸应不超过 </w:t>
      </w:r>
      <w:r>
        <w:rPr>
          <w:rFonts w:hint="eastAsia" w:ascii="EU-F1"/>
          <w:snapToGrid w:val="0"/>
          <w:szCs w:val="21"/>
        </w:rPr>
        <w:t>5</w:t>
      </w:r>
      <w:r>
        <w:rPr>
          <w:rFonts w:ascii="EU-F1"/>
          <w:snapToGrid w:val="0"/>
          <w:szCs w:val="21"/>
        </w:rPr>
        <w:t xml:space="preserve">.2.2 规定的导体最大尺寸与 2 倍于 </w:t>
      </w:r>
      <w:r>
        <w:rPr>
          <w:rFonts w:hint="eastAsia" w:ascii="EU-F1"/>
          <w:snapToGrid w:val="0"/>
          <w:szCs w:val="21"/>
        </w:rPr>
        <w:t>5</w:t>
      </w:r>
      <w:r>
        <w:rPr>
          <w:rFonts w:ascii="EU-F1"/>
          <w:snapToGrid w:val="0"/>
          <w:szCs w:val="21"/>
        </w:rPr>
        <w:t>.2.4 规定的绝缘厚度最大值之和。</w:t>
      </w:r>
    </w:p>
    <w:p w14:paraId="215272C0">
      <w:pPr>
        <w:topLinePunct/>
        <w:spacing w:line="312" w:lineRule="exact"/>
        <w:ind w:firstLine="420" w:firstLineChars="200"/>
        <w:rPr>
          <w:rFonts w:ascii="EU-F1"/>
          <w:snapToGrid w:val="0"/>
          <w:szCs w:val="21"/>
        </w:rPr>
      </w:pPr>
      <w:r>
        <w:rPr>
          <w:rFonts w:ascii="EU-F1"/>
          <w:snapToGrid w:val="0"/>
          <w:szCs w:val="21"/>
        </w:rPr>
        <w:t>注：纸包线的结构，如绝缘纸的层数、绕包方式、绝缘纸的厚度由供需双方协商规定。</w:t>
      </w:r>
    </w:p>
    <w:p w14:paraId="039FAD95">
      <w:pPr>
        <w:topLinePunct/>
        <w:spacing w:line="312" w:lineRule="exact"/>
        <w:rPr>
          <w:rFonts w:ascii="EU-F1"/>
          <w:snapToGrid w:val="0"/>
          <w:szCs w:val="21"/>
        </w:rPr>
      </w:pPr>
      <w:r>
        <w:rPr>
          <w:rFonts w:ascii="EU-F1"/>
          <w:snapToGrid w:val="0"/>
          <w:szCs w:val="21"/>
        </w:rPr>
        <w:t>导体表面应无铜粉及其他杂质，每层的绝缘纸应连续牢固及无皱纹，除绝缘纸端部外应无结点及粘合材料。</w:t>
      </w:r>
    </w:p>
    <w:p w14:paraId="3CF1AC45">
      <w:pPr>
        <w:pStyle w:val="59"/>
      </w:pPr>
      <w:r>
        <w:rPr>
          <w:rFonts w:hint="eastAsia"/>
        </w:rPr>
        <w:t>5</w:t>
      </w:r>
      <w:r>
        <w:rPr>
          <w:rFonts w:hint="eastAsia"/>
          <w:spacing w:val="20"/>
        </w:rPr>
        <w:t>.</w:t>
      </w:r>
      <w:r>
        <w:rPr>
          <w:rFonts w:hint="eastAsia"/>
        </w:rPr>
        <w:t>3　电阻</w:t>
      </w:r>
    </w:p>
    <w:p w14:paraId="5FADFEB1">
      <w:pPr>
        <w:pStyle w:val="59"/>
        <w:ind w:firstLine="420" w:firstLineChars="200"/>
        <w:rPr>
          <w:rFonts w:eastAsia="宋体"/>
          <w:snapToGrid w:val="0"/>
          <w:color w:val="auto"/>
          <w:kern w:val="2"/>
        </w:rPr>
      </w:pPr>
      <w:r>
        <w:rPr>
          <w:rFonts w:eastAsia="宋体"/>
          <w:snapToGrid w:val="0"/>
          <w:color w:val="auto"/>
          <w:kern w:val="2"/>
        </w:rPr>
        <w:t>电阻见 GB/T7673.1-2008 中 5.2 的规定</w:t>
      </w:r>
    </w:p>
    <w:p w14:paraId="7589F807">
      <w:pPr>
        <w:pStyle w:val="59"/>
      </w:pPr>
      <w:r>
        <w:rPr>
          <w:rFonts w:hint="eastAsia"/>
        </w:rPr>
        <w:t>5</w:t>
      </w:r>
      <w:r>
        <w:rPr>
          <w:rFonts w:hint="eastAsia"/>
          <w:spacing w:val="20"/>
        </w:rPr>
        <w:t>.</w:t>
      </w:r>
      <w:r>
        <w:rPr>
          <w:rFonts w:hint="eastAsia"/>
        </w:rPr>
        <w:t>4　伸长率</w:t>
      </w:r>
    </w:p>
    <w:p w14:paraId="306032CF">
      <w:pPr>
        <w:pStyle w:val="59"/>
        <w:ind w:firstLine="420" w:firstLineChars="200"/>
        <w:rPr>
          <w:rFonts w:eastAsia="宋体"/>
          <w:snapToGrid w:val="0"/>
          <w:color w:val="auto"/>
          <w:kern w:val="2"/>
        </w:rPr>
      </w:pPr>
      <w:r>
        <w:rPr>
          <w:rFonts w:eastAsia="宋体"/>
          <w:snapToGrid w:val="0"/>
          <w:color w:val="auto"/>
          <w:kern w:val="2"/>
        </w:rPr>
        <w:t>伸长率见 GB/T7095.1 的规定</w:t>
      </w:r>
    </w:p>
    <w:p w14:paraId="72B6D31A">
      <w:pPr>
        <w:pStyle w:val="59"/>
      </w:pPr>
      <w:r>
        <w:rPr>
          <w:rFonts w:hint="eastAsia"/>
        </w:rPr>
        <w:t>5</w:t>
      </w:r>
      <w:r>
        <w:rPr>
          <w:rFonts w:hint="eastAsia"/>
          <w:spacing w:val="20"/>
        </w:rPr>
        <w:t>.</w:t>
      </w:r>
      <w:r>
        <w:rPr>
          <w:rFonts w:hint="eastAsia"/>
        </w:rPr>
        <w:t>5　回弹性</w:t>
      </w:r>
    </w:p>
    <w:p w14:paraId="348523AF">
      <w:pPr>
        <w:pStyle w:val="59"/>
        <w:ind w:firstLine="420" w:firstLineChars="200"/>
        <w:rPr>
          <w:rFonts w:eastAsia="宋体"/>
          <w:snapToGrid w:val="0"/>
          <w:color w:val="auto"/>
          <w:kern w:val="2"/>
        </w:rPr>
      </w:pPr>
      <w:r>
        <w:rPr>
          <w:rFonts w:eastAsia="宋体"/>
          <w:snapToGrid w:val="0"/>
          <w:color w:val="auto"/>
          <w:kern w:val="2"/>
        </w:rPr>
        <w:t>导体的回弹性应不大于 5°。 注：半硬铜导体不考核</w:t>
      </w:r>
    </w:p>
    <w:p w14:paraId="050DE57B">
      <w:pPr>
        <w:pStyle w:val="59"/>
      </w:pPr>
      <w:r>
        <w:rPr>
          <w:rFonts w:hint="eastAsia"/>
        </w:rPr>
        <w:t>5</w:t>
      </w:r>
      <w:r>
        <w:rPr>
          <w:rFonts w:hint="eastAsia"/>
          <w:spacing w:val="20"/>
        </w:rPr>
        <w:t>.</w:t>
      </w:r>
      <w:r>
        <w:rPr>
          <w:rFonts w:hint="eastAsia"/>
        </w:rPr>
        <w:t>6　柔韧性及附着性</w:t>
      </w:r>
    </w:p>
    <w:p w14:paraId="109025FC">
      <w:pPr>
        <w:pStyle w:val="59"/>
        <w:ind w:firstLine="420" w:firstLineChars="200"/>
        <w:rPr>
          <w:rFonts w:eastAsia="宋体"/>
          <w:snapToGrid w:val="0"/>
          <w:color w:val="auto"/>
          <w:kern w:val="2"/>
        </w:rPr>
      </w:pPr>
      <w:r>
        <w:rPr>
          <w:rFonts w:eastAsia="宋体"/>
          <w:snapToGrid w:val="0"/>
          <w:color w:val="auto"/>
          <w:kern w:val="2"/>
        </w:rPr>
        <w:t>由于绝缘纸的层数和厚度存在差异，弯曲性能要求在订货时由供需双方协商规定</w:t>
      </w:r>
    </w:p>
    <w:p w14:paraId="5FDA7A77">
      <w:pPr>
        <w:pStyle w:val="59"/>
      </w:pPr>
      <w:r>
        <w:rPr>
          <w:rFonts w:hint="eastAsia"/>
        </w:rPr>
        <w:t>5</w:t>
      </w:r>
      <w:r>
        <w:rPr>
          <w:rFonts w:hint="eastAsia"/>
          <w:spacing w:val="20"/>
        </w:rPr>
        <w:t>.</w:t>
      </w:r>
      <w:r>
        <w:rPr>
          <w:rFonts w:hint="eastAsia"/>
        </w:rPr>
        <w:t>7  其他要求</w:t>
      </w:r>
    </w:p>
    <w:p w14:paraId="17B41314">
      <w:pPr>
        <w:ind w:left="840" w:hanging="420"/>
      </w:pPr>
      <w:r>
        <w:rPr>
          <w:rFonts w:hint="eastAsia"/>
        </w:rPr>
        <w:t>a) 每批产品均应尽可能具有相同的特性。</w:t>
      </w:r>
    </w:p>
    <w:p w14:paraId="453CB488">
      <w:pPr>
        <w:ind w:left="840" w:hanging="420"/>
      </w:pPr>
      <w:r>
        <w:rPr>
          <w:rFonts w:hint="eastAsia"/>
        </w:rPr>
        <w:t>b) 必须取得</w:t>
      </w:r>
      <w:r>
        <w:t>国家级检测机构出具</w:t>
      </w:r>
      <w:r>
        <w:rPr>
          <w:rFonts w:hint="eastAsia"/>
        </w:rPr>
        <w:t>的</w:t>
      </w:r>
      <w:r>
        <w:t>产</w:t>
      </w:r>
      <w:r>
        <w:rPr>
          <w:rFonts w:hint="eastAsia"/>
        </w:rPr>
        <w:t>品检测报告。</w:t>
      </w:r>
    </w:p>
    <w:p w14:paraId="1077A2FD">
      <w:pPr>
        <w:pStyle w:val="59"/>
      </w:pPr>
      <w:bookmarkStart w:id="8" w:name="_Toc327986882"/>
      <w:r>
        <w:rPr>
          <w:rFonts w:hint="eastAsia"/>
        </w:rPr>
        <w:t>5</w:t>
      </w:r>
      <w:r>
        <w:rPr>
          <w:rFonts w:hint="eastAsia"/>
          <w:spacing w:val="20"/>
        </w:rPr>
        <w:t>.</w:t>
      </w:r>
      <w:r>
        <w:rPr>
          <w:rFonts w:hint="eastAsia"/>
        </w:rPr>
        <w:t>8　主要元件和关键原材料的选择和安装</w:t>
      </w:r>
      <w:bookmarkEnd w:id="8"/>
      <w:r>
        <w:rPr>
          <w:rFonts w:hint="eastAsia"/>
        </w:rPr>
        <w:t>：</w:t>
      </w:r>
    </w:p>
    <w:p w14:paraId="3D78E1D0">
      <w:pPr>
        <w:ind w:firstLine="420" w:firstLineChars="200"/>
      </w:pPr>
      <w:r>
        <w:rPr>
          <w:rFonts w:hint="eastAsia"/>
        </w:rPr>
        <w:t>主要部件应选择列入《电气电子产品类强制性认证实施规则》中“</w:t>
      </w:r>
      <w:r>
        <w:t>CCC</w:t>
      </w:r>
      <w:r>
        <w:rPr>
          <w:rFonts w:hint="eastAsia"/>
        </w:rPr>
        <w:t>”认证目录，并经过“</w:t>
      </w:r>
      <w:r>
        <w:t>CCC</w:t>
      </w:r>
      <w:r>
        <w:rPr>
          <w:rFonts w:hint="eastAsia"/>
        </w:rPr>
        <w:t>”认证的器件。未列入“</w:t>
      </w:r>
      <w:r>
        <w:t>CCC</w:t>
      </w:r>
      <w:r>
        <w:rPr>
          <w:rFonts w:hint="eastAsia"/>
        </w:rPr>
        <w:t>”认证目录的器件和关键原材料，应有材质单和必要的出厂或型式试验报告，并标明各相关重要数据，包括绝缘器件的阻燃指数、绝缘性能、机械强度，母排的材质和导电率，钢材碳含量等，且符合国家相关要求。</w:t>
      </w:r>
    </w:p>
    <w:p w14:paraId="47D43C25">
      <w:pPr>
        <w:pStyle w:val="59"/>
      </w:pPr>
      <w:bookmarkStart w:id="9" w:name="_Toc358552375"/>
      <w:bookmarkStart w:id="10" w:name="_Toc358552337"/>
      <w:bookmarkStart w:id="11" w:name="_Toc363243289"/>
      <w:bookmarkStart w:id="12" w:name="_Toc363387107"/>
      <w:bookmarkStart w:id="13" w:name="_Toc363381650"/>
      <w:r>
        <w:t>5.</w:t>
      </w:r>
      <w:r>
        <w:rPr>
          <w:rFonts w:hint="eastAsia"/>
        </w:rPr>
        <w:t>9　标志、包装、运输</w:t>
      </w:r>
      <w:bookmarkEnd w:id="9"/>
      <w:bookmarkEnd w:id="10"/>
      <w:r>
        <w:rPr>
          <w:rFonts w:hint="eastAsia"/>
        </w:rPr>
        <w:t>、贮存</w:t>
      </w:r>
      <w:bookmarkEnd w:id="11"/>
      <w:bookmarkEnd w:id="12"/>
      <w:bookmarkEnd w:id="13"/>
    </w:p>
    <w:p w14:paraId="4D23C130">
      <w:pPr>
        <w:pStyle w:val="59"/>
      </w:pPr>
      <w:bookmarkStart w:id="14" w:name="_Toc363243290"/>
      <w:bookmarkStart w:id="15" w:name="_Toc363381651"/>
      <w:r>
        <w:t>5.</w:t>
      </w:r>
      <w:r>
        <w:rPr>
          <w:rFonts w:hint="eastAsia"/>
        </w:rPr>
        <w:t>9</w:t>
      </w:r>
      <w:r>
        <w:t>.1</w:t>
      </w:r>
      <w:r>
        <w:rPr>
          <w:rFonts w:hint="eastAsia"/>
        </w:rPr>
        <w:t>标志</w:t>
      </w:r>
      <w:bookmarkEnd w:id="14"/>
      <w:bookmarkEnd w:id="15"/>
    </w:p>
    <w:p w14:paraId="144A7737">
      <w:pPr>
        <w:ind w:firstLine="420" w:firstLineChars="200"/>
      </w:pPr>
      <w:r>
        <w:rPr>
          <w:rFonts w:hint="eastAsia"/>
        </w:rPr>
        <w:t>投标人应对货物包装进行完善的标志，以便招标人接收货物，</w:t>
      </w:r>
      <w:r>
        <w:t>标签应挂在由供需双方协商同意的每个包装单位上，并且应包括下列内容：</w:t>
      </w:r>
    </w:p>
    <w:p w14:paraId="07CC3334">
      <w:pPr>
        <w:ind w:left="840" w:hanging="420"/>
      </w:pPr>
      <w:r>
        <w:t>a)  制造厂名和商标；</w:t>
      </w:r>
    </w:p>
    <w:p w14:paraId="3FD50A89">
      <w:pPr>
        <w:ind w:left="840" w:hanging="420"/>
      </w:pPr>
      <w:r>
        <w:t xml:space="preserve">b) </w:t>
      </w:r>
      <w:r>
        <w:rPr>
          <w:rFonts w:hint="eastAsia"/>
        </w:rPr>
        <w:t xml:space="preserve"> </w:t>
      </w:r>
      <w:r>
        <w:t>纸包线种类、产品名称；</w:t>
      </w:r>
    </w:p>
    <w:p w14:paraId="6B020FE5">
      <w:pPr>
        <w:ind w:left="840" w:hanging="420"/>
      </w:pPr>
      <w:r>
        <w:t>c)  纸包线型号、规格、标称绝缘厚度、标准编号；</w:t>
      </w:r>
    </w:p>
    <w:p w14:paraId="4928B422">
      <w:pPr>
        <w:ind w:left="840" w:hanging="420"/>
      </w:pPr>
      <w:r>
        <w:t xml:space="preserve">d) </w:t>
      </w:r>
      <w:r>
        <w:rPr>
          <w:rFonts w:hint="eastAsia"/>
        </w:rPr>
        <w:t xml:space="preserve"> </w:t>
      </w:r>
      <w:r>
        <w:t>批次编号；</w:t>
      </w:r>
    </w:p>
    <w:p w14:paraId="39936494">
      <w:pPr>
        <w:ind w:left="840" w:hanging="420"/>
      </w:pPr>
      <w:r>
        <w:t xml:space="preserve">e) </w:t>
      </w:r>
      <w:r>
        <w:rPr>
          <w:rFonts w:hint="eastAsia"/>
        </w:rPr>
        <w:t xml:space="preserve"> </w:t>
      </w:r>
      <w:r>
        <w:t>纸包线净重或长度；</w:t>
      </w:r>
    </w:p>
    <w:p w14:paraId="20D1E54E">
      <w:pPr>
        <w:ind w:left="840" w:hanging="420"/>
      </w:pPr>
      <w:r>
        <w:t>f)  制造日期。</w:t>
      </w:r>
    </w:p>
    <w:p w14:paraId="71E722DF">
      <w:pPr>
        <w:pStyle w:val="59"/>
      </w:pPr>
      <w:r>
        <w:t>5.</w:t>
      </w:r>
      <w:r>
        <w:rPr>
          <w:rFonts w:hint="eastAsia"/>
        </w:rPr>
        <w:t>9</w:t>
      </w:r>
      <w:r>
        <w:t>.</w:t>
      </w:r>
      <w:r>
        <w:rPr>
          <w:rFonts w:hint="eastAsia"/>
        </w:rPr>
        <w:t>2包装、运输</w:t>
      </w:r>
    </w:p>
    <w:p w14:paraId="6D668676">
      <w:pPr>
        <w:topLinePunct/>
        <w:spacing w:line="312" w:lineRule="exact"/>
        <w:ind w:firstLine="420"/>
        <w:rPr>
          <w:szCs w:val="21"/>
        </w:rPr>
      </w:pPr>
      <w:r>
        <w:rPr>
          <w:rFonts w:hint="eastAsia"/>
          <w:szCs w:val="21"/>
        </w:rPr>
        <w:t>投标人应妥善考虑货物的包装、运输，招标人在接收货物时会进行货物包装、元件外观的进厂检验、且为完全检验，因包装、运输不完善造成的元件损伤，招标方有权要求投标方进行无条件更换。</w:t>
      </w:r>
    </w:p>
    <w:p w14:paraId="7896A4E4">
      <w:pPr>
        <w:pStyle w:val="241"/>
        <w:numPr>
          <w:ilvl w:val="0"/>
          <w:numId w:val="1"/>
        </w:numPr>
        <w:ind w:firstLineChars="0"/>
        <w:rPr>
          <w:szCs w:val="21"/>
        </w:rPr>
      </w:pPr>
      <w:r>
        <w:rPr>
          <w:szCs w:val="21"/>
        </w:rPr>
        <w:t>包装种类可能影响纸包线的性能，例如柔韧性和附着性等，因此包装的种类应由供需双方协商确定。</w:t>
      </w:r>
    </w:p>
    <w:p w14:paraId="4640A927">
      <w:pPr>
        <w:pStyle w:val="241"/>
        <w:numPr>
          <w:ilvl w:val="0"/>
          <w:numId w:val="1"/>
        </w:numPr>
        <w:ind w:firstLineChars="0"/>
        <w:rPr>
          <w:szCs w:val="21"/>
        </w:rPr>
      </w:pPr>
      <w:r>
        <w:rPr>
          <w:szCs w:val="21"/>
        </w:rPr>
        <w:t>纸包线应均匀紧密地卷绕在交货的线盘上。</w:t>
      </w:r>
    </w:p>
    <w:p w14:paraId="39A60D6B">
      <w:pPr>
        <w:pStyle w:val="241"/>
        <w:numPr>
          <w:ilvl w:val="0"/>
          <w:numId w:val="1"/>
        </w:numPr>
        <w:ind w:firstLineChars="0"/>
        <w:rPr>
          <w:szCs w:val="21"/>
        </w:rPr>
      </w:pPr>
      <w:r>
        <w:rPr>
          <w:szCs w:val="21"/>
        </w:rPr>
        <w:t>线盘侧板边缘与纸包线最外层之间应留有适当空间，以确保产品运输安全。线与线、线与线盘之间需衬保护板。</w:t>
      </w:r>
    </w:p>
    <w:p w14:paraId="325D89F4">
      <w:pPr>
        <w:pStyle w:val="241"/>
        <w:numPr>
          <w:ilvl w:val="0"/>
          <w:numId w:val="1"/>
        </w:numPr>
        <w:ind w:firstLineChars="0"/>
        <w:rPr>
          <w:szCs w:val="21"/>
        </w:rPr>
      </w:pPr>
      <w:r>
        <w:rPr>
          <w:szCs w:val="21"/>
        </w:rPr>
        <w:t>交货线盘中不应有 1个以上线段的纸包线。当多于 1个线段时，应在标签上标出线段数及每一线段的长度。</w:t>
      </w:r>
    </w:p>
    <w:p w14:paraId="577D2F91">
      <w:pPr>
        <w:pStyle w:val="241"/>
        <w:numPr>
          <w:ilvl w:val="0"/>
          <w:numId w:val="1"/>
        </w:numPr>
        <w:ind w:firstLineChars="0"/>
        <w:rPr>
          <w:szCs w:val="21"/>
        </w:rPr>
      </w:pPr>
      <w:r>
        <w:rPr>
          <w:szCs w:val="21"/>
        </w:rPr>
        <w:t>每批每规格导线重不允许超出合同额 3%。</w:t>
      </w:r>
    </w:p>
    <w:p w14:paraId="155DB54A">
      <w:pPr>
        <w:pStyle w:val="60"/>
        <w:outlineLvl w:val="0"/>
      </w:pPr>
      <w:bookmarkStart w:id="16" w:name="_Toc438720046"/>
      <w:r>
        <w:rPr>
          <w:rFonts w:hint="eastAsia"/>
        </w:rPr>
        <w:t>6　试验</w:t>
      </w:r>
      <w:bookmarkEnd w:id="16"/>
    </w:p>
    <w:p w14:paraId="34C85E30">
      <w:pPr>
        <w:topLinePunct/>
        <w:spacing w:line="312" w:lineRule="exact"/>
        <w:rPr>
          <w:bCs/>
          <w:szCs w:val="21"/>
        </w:rPr>
      </w:pPr>
      <w:r>
        <w:rPr>
          <w:rFonts w:hint="eastAsia" w:ascii="EU-F1" w:eastAsia="黑体"/>
          <w:szCs w:val="21"/>
        </w:rPr>
        <w:t>6.1</w:t>
      </w:r>
      <w:r>
        <w:rPr>
          <w:bCs/>
          <w:szCs w:val="21"/>
        </w:rPr>
        <w:t xml:space="preserve">  </w:t>
      </w:r>
      <w:r>
        <w:rPr>
          <w:rFonts w:hint="eastAsia"/>
          <w:bCs/>
          <w:szCs w:val="21"/>
        </w:rPr>
        <w:t>根据国家标准（</w:t>
      </w:r>
      <w:r>
        <w:rPr>
          <w:bCs/>
          <w:szCs w:val="21"/>
        </w:rPr>
        <w:t>GB</w:t>
      </w:r>
      <w:r>
        <w:rPr>
          <w:rFonts w:hint="eastAsia"/>
          <w:bCs/>
          <w:szCs w:val="21"/>
        </w:rPr>
        <w:t>）、电力行业标准（</w:t>
      </w:r>
      <w:r>
        <w:rPr>
          <w:bCs/>
          <w:szCs w:val="21"/>
        </w:rPr>
        <w:t>DL</w:t>
      </w:r>
      <w:r>
        <w:rPr>
          <w:rFonts w:hint="eastAsia"/>
          <w:bCs/>
          <w:szCs w:val="21"/>
        </w:rPr>
        <w:t>）或国家电网公司企业标准进行试验。试验中，要遵循并执行下列附加要求，并应提供供货范围内主要元件的型式试验和出厂试验报告。</w:t>
      </w:r>
    </w:p>
    <w:p w14:paraId="00B2F505">
      <w:pPr>
        <w:topLinePunct/>
        <w:spacing w:line="312" w:lineRule="exact"/>
        <w:rPr>
          <w:snapToGrid w:val="0"/>
          <w:szCs w:val="21"/>
        </w:rPr>
      </w:pPr>
      <w:r>
        <w:rPr>
          <w:rFonts w:hint="eastAsia" w:ascii="EU-F1" w:eastAsia="黑体"/>
          <w:szCs w:val="21"/>
        </w:rPr>
        <w:t>6.2</w:t>
      </w:r>
      <w:r>
        <w:rPr>
          <w:bCs/>
          <w:szCs w:val="21"/>
        </w:rPr>
        <w:t xml:space="preserve">  </w:t>
      </w:r>
      <w:r>
        <w:rPr>
          <w:rFonts w:hint="eastAsia"/>
          <w:snapToGrid w:val="0"/>
          <w:szCs w:val="21"/>
        </w:rPr>
        <w:t>现场交接试验应符合标准的要求。</w:t>
      </w:r>
    </w:p>
    <w:p w14:paraId="7CCA3756">
      <w:pPr>
        <w:topLinePunct/>
        <w:spacing w:line="312" w:lineRule="exact"/>
        <w:rPr>
          <w:snapToGrid w:val="0"/>
          <w:szCs w:val="21"/>
        </w:rPr>
      </w:pPr>
      <w:r>
        <w:rPr>
          <w:rFonts w:hint="eastAsia" w:ascii="EU-F1" w:eastAsia="黑体"/>
          <w:szCs w:val="21"/>
        </w:rPr>
        <w:t xml:space="preserve">6.3 </w:t>
      </w:r>
      <w:r>
        <w:rPr>
          <w:snapToGrid w:val="0"/>
          <w:szCs w:val="21"/>
        </w:rPr>
        <w:t xml:space="preserve"> </w:t>
      </w:r>
      <w:r>
        <w:rPr>
          <w:rFonts w:hint="eastAsia"/>
          <w:bCs/>
          <w:szCs w:val="21"/>
        </w:rPr>
        <w:t>抽检试验由招标方委托第三方检验机构如电力工业电力产品及仪表质量检验测试中心配电系统产品及中低压电器质检站完成。</w:t>
      </w:r>
    </w:p>
    <w:p w14:paraId="5F77A3E3">
      <w:pPr>
        <w:pStyle w:val="60"/>
        <w:rPr>
          <w:rFonts w:hint="eastAsia" w:ascii="黑体" w:hAnsi="黑体"/>
        </w:rPr>
      </w:pPr>
      <w:r>
        <w:rPr>
          <w:rFonts w:hint="eastAsia" w:ascii="黑体" w:hAnsi="黑体"/>
        </w:rPr>
        <w:t>6.4　型式试验</w:t>
      </w:r>
    </w:p>
    <w:p w14:paraId="35B6FBBE">
      <w:pPr>
        <w:topLinePunct/>
        <w:spacing w:line="312" w:lineRule="exact"/>
        <w:rPr>
          <w:szCs w:val="21"/>
        </w:rPr>
      </w:pPr>
      <w:r>
        <w:rPr>
          <w:rFonts w:hint="eastAsia" w:ascii="黑体" w:hAnsi="黑体" w:eastAsia="黑体"/>
          <w:szCs w:val="21"/>
        </w:rPr>
        <w:t>6</w:t>
      </w:r>
      <w:r>
        <w:rPr>
          <w:rFonts w:hint="eastAsia" w:ascii="黑体" w:hAnsi="黑体" w:eastAsia="黑体"/>
          <w:spacing w:val="20"/>
          <w:szCs w:val="21"/>
        </w:rPr>
        <w:t>.</w:t>
      </w:r>
      <w:r>
        <w:rPr>
          <w:rFonts w:hint="eastAsia" w:ascii="黑体" w:hAnsi="黑体" w:eastAsia="黑体"/>
          <w:szCs w:val="21"/>
        </w:rPr>
        <w:t>4</w:t>
      </w:r>
      <w:r>
        <w:rPr>
          <w:rFonts w:hint="eastAsia" w:ascii="黑体" w:hAnsi="黑体" w:eastAsia="黑体"/>
          <w:spacing w:val="20"/>
          <w:szCs w:val="21"/>
        </w:rPr>
        <w:t>.</w:t>
      </w:r>
      <w:r>
        <w:rPr>
          <w:rFonts w:hint="eastAsia" w:ascii="黑体" w:hAnsi="黑体" w:eastAsia="黑体"/>
          <w:szCs w:val="21"/>
        </w:rPr>
        <w:t>1</w:t>
      </w:r>
      <w:r>
        <w:rPr>
          <w:rFonts w:hint="eastAsia" w:ascii="EU-F1"/>
          <w:szCs w:val="21"/>
        </w:rPr>
        <w:t>　</w:t>
      </w:r>
      <w:r>
        <w:rPr>
          <w:rFonts w:hint="eastAsia"/>
          <w:szCs w:val="21"/>
        </w:rPr>
        <w:t>型式试验的目在于验证产品的各种性能是否符合设计的要求。</w:t>
      </w:r>
    </w:p>
    <w:p w14:paraId="1A1FEFAB">
      <w:pPr>
        <w:topLinePunct/>
        <w:spacing w:line="312" w:lineRule="exact"/>
        <w:rPr>
          <w:szCs w:val="21"/>
        </w:rPr>
      </w:pPr>
      <w:r>
        <w:rPr>
          <w:rFonts w:hint="eastAsia" w:ascii="EU-F1"/>
          <w:szCs w:val="21"/>
        </w:rPr>
        <w:t>6</w:t>
      </w:r>
      <w:r>
        <w:rPr>
          <w:rFonts w:hint="eastAsia" w:ascii="EU-F1"/>
          <w:spacing w:val="20"/>
          <w:szCs w:val="21"/>
        </w:rPr>
        <w:t>.</w:t>
      </w:r>
      <w:r>
        <w:rPr>
          <w:rFonts w:hint="eastAsia" w:ascii="EU-F1"/>
          <w:szCs w:val="21"/>
        </w:rPr>
        <w:t>4</w:t>
      </w:r>
      <w:r>
        <w:rPr>
          <w:rFonts w:hint="eastAsia" w:ascii="EU-F1"/>
          <w:spacing w:val="20"/>
          <w:szCs w:val="21"/>
        </w:rPr>
        <w:t>.</w:t>
      </w:r>
      <w:r>
        <w:rPr>
          <w:rFonts w:hint="eastAsia" w:ascii="EU-F1"/>
          <w:szCs w:val="21"/>
        </w:rPr>
        <w:t>2　</w:t>
      </w:r>
      <w:r>
        <w:rPr>
          <w:rFonts w:hint="eastAsia"/>
          <w:szCs w:val="21"/>
        </w:rPr>
        <w:t>型式试验项目：</w:t>
      </w:r>
    </w:p>
    <w:p w14:paraId="2E7EE83B">
      <w:pPr>
        <w:ind w:left="840" w:hanging="420"/>
      </w:pPr>
      <w:r>
        <w:t>a</w:t>
      </w:r>
      <w:r>
        <w:rPr>
          <w:rFonts w:hint="eastAsia"/>
        </w:rPr>
        <w:t>）</w:t>
      </w:r>
      <w:r>
        <w:tab/>
      </w:r>
      <w:r>
        <w:rPr>
          <w:rFonts w:hint="eastAsia"/>
        </w:rPr>
        <w:t>尺寸</w:t>
      </w:r>
    </w:p>
    <w:p w14:paraId="019D1729">
      <w:pPr>
        <w:ind w:left="840" w:hanging="420"/>
      </w:pPr>
      <w:r>
        <w:t>b</w:t>
      </w:r>
      <w:r>
        <w:rPr>
          <w:rFonts w:hint="eastAsia"/>
        </w:rPr>
        <w:t>）</w:t>
      </w:r>
      <w:r>
        <w:tab/>
      </w:r>
      <w:r>
        <w:rPr>
          <w:rFonts w:hint="eastAsia"/>
        </w:rPr>
        <w:t>绕包和绕包方式</w:t>
      </w:r>
    </w:p>
    <w:p w14:paraId="3AD6D943">
      <w:pPr>
        <w:ind w:left="840" w:hanging="420"/>
      </w:pPr>
      <w:r>
        <w:t>c</w:t>
      </w:r>
      <w:r>
        <w:rPr>
          <w:rFonts w:hint="eastAsia"/>
        </w:rPr>
        <w:t>）</w:t>
      </w:r>
      <w:r>
        <w:tab/>
      </w:r>
      <w:r>
        <w:rPr>
          <w:rFonts w:hint="eastAsia"/>
        </w:rPr>
        <w:t>焊接</w:t>
      </w:r>
    </w:p>
    <w:p w14:paraId="5A7653AD">
      <w:pPr>
        <w:ind w:left="840" w:hanging="420"/>
      </w:pPr>
      <w:r>
        <w:t>d</w:t>
      </w:r>
      <w:r>
        <w:rPr>
          <w:rFonts w:hint="eastAsia"/>
        </w:rPr>
        <w:t>）</w:t>
      </w:r>
      <w:r>
        <w:tab/>
      </w:r>
      <w:r>
        <w:rPr>
          <w:rFonts w:hint="eastAsia"/>
        </w:rPr>
        <w:t>电阻</w:t>
      </w:r>
    </w:p>
    <w:p w14:paraId="7BFA844E">
      <w:pPr>
        <w:ind w:left="840" w:hanging="420"/>
      </w:pPr>
      <w:r>
        <w:t>e</w:t>
      </w:r>
      <w:r>
        <w:rPr>
          <w:rFonts w:hint="eastAsia"/>
        </w:rPr>
        <w:t>）</w:t>
      </w:r>
      <w:r>
        <w:tab/>
      </w:r>
      <w:r>
        <w:rPr>
          <w:rFonts w:hint="eastAsia"/>
        </w:rPr>
        <w:t>伸长率</w:t>
      </w:r>
    </w:p>
    <w:p w14:paraId="5E017CEF">
      <w:pPr>
        <w:ind w:left="840" w:hanging="420"/>
      </w:pPr>
      <w:r>
        <w:t>f</w:t>
      </w:r>
      <w:r>
        <w:rPr>
          <w:rFonts w:hint="eastAsia"/>
        </w:rPr>
        <w:t>）</w:t>
      </w:r>
      <w:r>
        <w:tab/>
      </w:r>
      <w:r>
        <w:rPr>
          <w:rFonts w:hint="eastAsia"/>
        </w:rPr>
        <w:t>回弹性</w:t>
      </w:r>
    </w:p>
    <w:p w14:paraId="60416619">
      <w:pPr>
        <w:ind w:left="840" w:hanging="420"/>
      </w:pPr>
      <w:r>
        <w:t>g</w:t>
      </w:r>
      <w:r>
        <w:rPr>
          <w:rFonts w:hint="eastAsia"/>
        </w:rPr>
        <w:t>）</w:t>
      </w:r>
      <w:r>
        <w:tab/>
      </w:r>
      <w:r>
        <w:rPr>
          <w:rFonts w:hint="eastAsia"/>
        </w:rPr>
        <w:t>柔韧性和附着性</w:t>
      </w:r>
    </w:p>
    <w:p w14:paraId="1C00BB22">
      <w:pPr>
        <w:pStyle w:val="59"/>
      </w:pPr>
      <w:r>
        <w:rPr>
          <w:rFonts w:hint="eastAsia"/>
        </w:rPr>
        <w:t>6</w:t>
      </w:r>
      <w:r>
        <w:rPr>
          <w:rFonts w:hint="eastAsia"/>
          <w:spacing w:val="20"/>
        </w:rPr>
        <w:t>.</w:t>
      </w:r>
      <w:r>
        <w:rPr>
          <w:rFonts w:hint="eastAsia"/>
        </w:rPr>
        <w:t>5　出厂试验</w:t>
      </w:r>
    </w:p>
    <w:p w14:paraId="21B1A2E3">
      <w:pPr>
        <w:topLinePunct/>
        <w:spacing w:line="312" w:lineRule="exact"/>
        <w:rPr>
          <w:snapToGrid w:val="0"/>
          <w:szCs w:val="21"/>
        </w:rPr>
      </w:pPr>
      <w:r>
        <w:rPr>
          <w:rFonts w:hint="eastAsia" w:ascii="EU-F1"/>
          <w:snapToGrid w:val="0"/>
          <w:szCs w:val="21"/>
        </w:rPr>
        <w:t>6</w:t>
      </w:r>
      <w:r>
        <w:rPr>
          <w:rFonts w:hint="eastAsia" w:ascii="EU-F1"/>
          <w:snapToGrid w:val="0"/>
          <w:spacing w:val="20"/>
          <w:szCs w:val="21"/>
        </w:rPr>
        <w:t>.</w:t>
      </w:r>
      <w:r>
        <w:rPr>
          <w:rFonts w:hint="eastAsia" w:ascii="EU-F1"/>
          <w:snapToGrid w:val="0"/>
          <w:szCs w:val="21"/>
        </w:rPr>
        <w:t>5</w:t>
      </w:r>
      <w:r>
        <w:rPr>
          <w:rFonts w:hint="eastAsia" w:ascii="EU-F1"/>
          <w:snapToGrid w:val="0"/>
          <w:spacing w:val="20"/>
          <w:szCs w:val="21"/>
        </w:rPr>
        <w:t>.</w:t>
      </w:r>
      <w:r>
        <w:rPr>
          <w:rFonts w:hint="eastAsia" w:ascii="EU-F1"/>
          <w:snapToGrid w:val="0"/>
          <w:szCs w:val="21"/>
        </w:rPr>
        <w:t>1　</w:t>
      </w:r>
      <w:r>
        <w:rPr>
          <w:rFonts w:hint="eastAsia"/>
          <w:snapToGrid w:val="0"/>
          <w:szCs w:val="21"/>
        </w:rPr>
        <w:t>每一批产品在出厂时都应进行出厂试验，均应按相应的标准通过出厂试验。</w:t>
      </w:r>
    </w:p>
    <w:p w14:paraId="5794A6B7">
      <w:pPr>
        <w:topLinePunct/>
        <w:spacing w:line="312" w:lineRule="exact"/>
        <w:rPr>
          <w:snapToGrid w:val="0"/>
          <w:szCs w:val="21"/>
        </w:rPr>
      </w:pPr>
      <w:r>
        <w:rPr>
          <w:rFonts w:hint="eastAsia" w:ascii="EU-F1"/>
          <w:snapToGrid w:val="0"/>
          <w:szCs w:val="21"/>
        </w:rPr>
        <w:t>6</w:t>
      </w:r>
      <w:r>
        <w:rPr>
          <w:rFonts w:hint="eastAsia" w:ascii="EU-F1"/>
          <w:snapToGrid w:val="0"/>
          <w:spacing w:val="20"/>
          <w:szCs w:val="21"/>
        </w:rPr>
        <w:t>.</w:t>
      </w:r>
      <w:r>
        <w:rPr>
          <w:rFonts w:hint="eastAsia" w:ascii="EU-F1"/>
          <w:snapToGrid w:val="0"/>
          <w:szCs w:val="21"/>
        </w:rPr>
        <w:t>5</w:t>
      </w:r>
      <w:r>
        <w:rPr>
          <w:rFonts w:hint="eastAsia" w:ascii="EU-F1"/>
          <w:snapToGrid w:val="0"/>
          <w:spacing w:val="20"/>
          <w:szCs w:val="21"/>
        </w:rPr>
        <w:t>.</w:t>
      </w:r>
      <w:r>
        <w:rPr>
          <w:rFonts w:hint="eastAsia" w:ascii="EU-F1"/>
          <w:snapToGrid w:val="0"/>
          <w:szCs w:val="21"/>
        </w:rPr>
        <w:t>2　</w:t>
      </w:r>
      <w:r>
        <w:rPr>
          <w:rFonts w:hint="eastAsia"/>
          <w:snapToGrid w:val="0"/>
          <w:szCs w:val="21"/>
        </w:rPr>
        <w:t>出厂试验项目：</w:t>
      </w:r>
    </w:p>
    <w:p w14:paraId="26EE6799">
      <w:pPr>
        <w:ind w:left="840" w:hanging="420"/>
      </w:pPr>
      <w:r>
        <w:t>a</w:t>
      </w:r>
      <w:r>
        <w:rPr>
          <w:rFonts w:hint="eastAsia"/>
        </w:rPr>
        <w:t>）</w:t>
      </w:r>
      <w:r>
        <w:tab/>
      </w:r>
      <w:r>
        <w:rPr>
          <w:rFonts w:hint="eastAsia"/>
        </w:rPr>
        <w:t>外观检查</w:t>
      </w:r>
    </w:p>
    <w:p w14:paraId="1B50C30F">
      <w:pPr>
        <w:ind w:left="840" w:hanging="420"/>
      </w:pPr>
      <w:r>
        <w:t>b</w:t>
      </w:r>
      <w:r>
        <w:rPr>
          <w:rFonts w:hint="eastAsia"/>
        </w:rPr>
        <w:t>）</w:t>
      </w:r>
      <w:r>
        <w:tab/>
      </w:r>
      <w:r>
        <w:rPr>
          <w:rFonts w:hint="eastAsia"/>
        </w:rPr>
        <w:t>电阻试验</w:t>
      </w:r>
    </w:p>
    <w:p w14:paraId="0D28AD81">
      <w:pPr>
        <w:ind w:left="840" w:hanging="420"/>
      </w:pPr>
      <w:r>
        <w:t>c</w:t>
      </w:r>
      <w:r>
        <w:rPr>
          <w:rFonts w:hint="eastAsia"/>
        </w:rPr>
        <w:t>） 绕包和绕包方式</w:t>
      </w:r>
    </w:p>
    <w:p w14:paraId="4B9C1097">
      <w:pPr>
        <w:ind w:left="840" w:hanging="420"/>
      </w:pPr>
      <w:r>
        <w:rPr>
          <w:rFonts w:hint="eastAsia"/>
        </w:rPr>
        <w:t>d)  包装</w:t>
      </w:r>
    </w:p>
    <w:p w14:paraId="42ECE0D7">
      <w:pPr>
        <w:pStyle w:val="59"/>
        <w:rPr>
          <w:rFonts w:hint="eastAsia" w:ascii="黑体" w:hAnsi="黑体"/>
          <w:snapToGrid w:val="0"/>
        </w:rPr>
      </w:pPr>
      <w:r>
        <w:rPr>
          <w:rFonts w:hint="eastAsia" w:ascii="黑体" w:hAnsi="黑体"/>
          <w:snapToGrid w:val="0"/>
        </w:rPr>
        <w:t>6</w:t>
      </w:r>
      <w:r>
        <w:rPr>
          <w:rFonts w:hint="eastAsia" w:ascii="黑体" w:hAnsi="黑体"/>
          <w:snapToGrid w:val="0"/>
          <w:spacing w:val="20"/>
        </w:rPr>
        <w:t>.</w:t>
      </w:r>
      <w:r>
        <w:rPr>
          <w:rFonts w:hint="eastAsia" w:ascii="黑体" w:hAnsi="黑体"/>
          <w:snapToGrid w:val="0"/>
        </w:rPr>
        <w:t>6　抽检试验</w:t>
      </w:r>
    </w:p>
    <w:p w14:paraId="2AF7D3F1">
      <w:pPr>
        <w:topLinePunct/>
        <w:spacing w:line="312" w:lineRule="exact"/>
        <w:rPr>
          <w:szCs w:val="21"/>
        </w:rPr>
      </w:pPr>
      <w:r>
        <w:rPr>
          <w:rFonts w:hint="eastAsia" w:ascii="黑体" w:hAnsi="黑体" w:eastAsia="黑体"/>
          <w:snapToGrid w:val="0"/>
          <w:color w:val="000000"/>
          <w:kern w:val="44"/>
          <w:szCs w:val="21"/>
        </w:rPr>
        <w:t>6.6.1</w:t>
      </w:r>
      <w:r>
        <w:rPr>
          <w:rFonts w:hint="eastAsia" w:ascii="EU-F1"/>
          <w:szCs w:val="21"/>
        </w:rPr>
        <w:t>　</w:t>
      </w:r>
      <w:r>
        <w:rPr>
          <w:rFonts w:hint="eastAsia"/>
          <w:szCs w:val="21"/>
        </w:rPr>
        <w:t>招标人有权对正在制造或制造完毕的产品，选择一定数量，进行抽样检测，检测产品质量或验证供应商试验的真实性，投标人应配合买方做好抽样检测。抽样检测采用随机抽样的方式进行，抽样比例由采购方根据每次具体采购数量按抽样检测规定及采购方的要求确定。采购方派专人到供货方现场或仓库随机封样，供货方按采购方要求将封样后的产品送到采购方指定的专业实验室（电力工业电力产品及仪表质量检验测试中心配电系统产品及中低压电器质检站）进行检测，检测方将检测结果报采购方审核确定，检测费用由投标人承担。</w:t>
      </w:r>
    </w:p>
    <w:p w14:paraId="066077DB">
      <w:pPr>
        <w:topLinePunct/>
        <w:spacing w:line="312" w:lineRule="exact"/>
        <w:rPr>
          <w:szCs w:val="21"/>
        </w:rPr>
      </w:pPr>
      <w:r>
        <w:rPr>
          <w:rFonts w:hint="eastAsia" w:ascii="黑体" w:hAnsi="黑体" w:eastAsia="黑体"/>
          <w:snapToGrid w:val="0"/>
          <w:color w:val="000000"/>
          <w:kern w:val="44"/>
          <w:szCs w:val="21"/>
        </w:rPr>
        <w:t>6.6.2</w:t>
      </w:r>
      <w:r>
        <w:rPr>
          <w:rFonts w:hint="eastAsia" w:ascii="EU-F1"/>
          <w:szCs w:val="21"/>
        </w:rPr>
        <w:t>　</w:t>
      </w:r>
      <w:r>
        <w:rPr>
          <w:rFonts w:hint="eastAsia"/>
          <w:szCs w:val="21"/>
        </w:rPr>
        <w:t>采购方将根据每次抽检质量情况，建立产品质量信誉库，若供货方的封样产品经抽样检测不符合采购方技术规范的要求，采购方可以拒收本批次产品，并降低供货方质量信誉等级。</w:t>
      </w:r>
    </w:p>
    <w:p w14:paraId="0626FE7A">
      <w:pPr>
        <w:topLinePunct/>
        <w:spacing w:line="312" w:lineRule="exact"/>
        <w:rPr>
          <w:szCs w:val="21"/>
        </w:rPr>
      </w:pPr>
      <w:r>
        <w:rPr>
          <w:rFonts w:hint="eastAsia" w:ascii="黑体" w:hAnsi="黑体" w:eastAsia="黑体"/>
          <w:snapToGrid w:val="0"/>
          <w:color w:val="000000"/>
          <w:kern w:val="44"/>
          <w:szCs w:val="21"/>
        </w:rPr>
        <w:t>6.6.3</w:t>
      </w:r>
      <w:r>
        <w:rPr>
          <w:rFonts w:hint="eastAsia" w:ascii="EU-F1"/>
          <w:szCs w:val="21"/>
        </w:rPr>
        <w:t>　</w:t>
      </w:r>
      <w:r>
        <w:rPr>
          <w:rFonts w:hint="eastAsia"/>
          <w:szCs w:val="21"/>
        </w:rPr>
        <w:t>抽检项目：（包含但不限于）</w:t>
      </w:r>
    </w:p>
    <w:p w14:paraId="7F5F517C">
      <w:pPr>
        <w:ind w:left="840" w:hanging="420"/>
      </w:pPr>
      <w:bookmarkStart w:id="17" w:name="_Toc438720047"/>
      <w:r>
        <w:t>a</w:t>
      </w:r>
      <w:r>
        <w:rPr>
          <w:rFonts w:hint="eastAsia"/>
        </w:rPr>
        <w:t>）</w:t>
      </w:r>
      <w:r>
        <w:tab/>
      </w:r>
      <w:r>
        <w:rPr>
          <w:rFonts w:hint="eastAsia"/>
        </w:rPr>
        <w:t>尺寸</w:t>
      </w:r>
    </w:p>
    <w:p w14:paraId="06C60D31">
      <w:pPr>
        <w:ind w:left="840" w:hanging="420"/>
      </w:pPr>
      <w:r>
        <w:t>b</w:t>
      </w:r>
      <w:r>
        <w:rPr>
          <w:rFonts w:hint="eastAsia"/>
        </w:rPr>
        <w:t>）</w:t>
      </w:r>
      <w:r>
        <w:tab/>
      </w:r>
      <w:r>
        <w:rPr>
          <w:rFonts w:hint="eastAsia"/>
        </w:rPr>
        <w:t>绕包和绕包方式</w:t>
      </w:r>
    </w:p>
    <w:p w14:paraId="76F4D01D">
      <w:pPr>
        <w:ind w:left="840" w:hanging="420"/>
      </w:pPr>
      <w:r>
        <w:t>c</w:t>
      </w:r>
      <w:r>
        <w:rPr>
          <w:rFonts w:hint="eastAsia"/>
        </w:rPr>
        <w:t>）</w:t>
      </w:r>
      <w:r>
        <w:tab/>
      </w:r>
      <w:r>
        <w:rPr>
          <w:rFonts w:hint="eastAsia"/>
        </w:rPr>
        <w:t>焊接</w:t>
      </w:r>
    </w:p>
    <w:p w14:paraId="28E0D508">
      <w:pPr>
        <w:ind w:left="840" w:hanging="420"/>
      </w:pPr>
      <w:r>
        <w:t>d</w:t>
      </w:r>
      <w:r>
        <w:rPr>
          <w:rFonts w:hint="eastAsia"/>
        </w:rPr>
        <w:t>）</w:t>
      </w:r>
      <w:r>
        <w:tab/>
      </w:r>
      <w:r>
        <w:rPr>
          <w:rFonts w:hint="eastAsia"/>
        </w:rPr>
        <w:t>电阻</w:t>
      </w:r>
    </w:p>
    <w:p w14:paraId="54596E58">
      <w:pPr>
        <w:ind w:left="840" w:hanging="420"/>
      </w:pPr>
      <w:r>
        <w:t>e</w:t>
      </w:r>
      <w:r>
        <w:rPr>
          <w:rFonts w:hint="eastAsia"/>
        </w:rPr>
        <w:t>）</w:t>
      </w:r>
      <w:r>
        <w:tab/>
      </w:r>
      <w:r>
        <w:rPr>
          <w:rFonts w:hint="eastAsia"/>
        </w:rPr>
        <w:t>伸长率</w:t>
      </w:r>
    </w:p>
    <w:p w14:paraId="05EB0907">
      <w:pPr>
        <w:ind w:left="840" w:hanging="420"/>
      </w:pPr>
      <w:r>
        <w:t>f</w:t>
      </w:r>
      <w:r>
        <w:rPr>
          <w:rFonts w:hint="eastAsia"/>
        </w:rPr>
        <w:t>）</w:t>
      </w:r>
      <w:r>
        <w:tab/>
      </w:r>
      <w:r>
        <w:rPr>
          <w:rFonts w:hint="eastAsia"/>
        </w:rPr>
        <w:t>回弹性</w:t>
      </w:r>
    </w:p>
    <w:p w14:paraId="24C609F7">
      <w:pPr>
        <w:ind w:left="840" w:hanging="420"/>
      </w:pPr>
      <w:r>
        <w:t>g</w:t>
      </w:r>
      <w:r>
        <w:rPr>
          <w:rFonts w:hint="eastAsia"/>
        </w:rPr>
        <w:t>）</w:t>
      </w:r>
      <w:r>
        <w:tab/>
      </w:r>
      <w:r>
        <w:rPr>
          <w:rFonts w:hint="eastAsia"/>
        </w:rPr>
        <w:t>柔韧性和附着性</w:t>
      </w:r>
    </w:p>
    <w:p w14:paraId="5780117B">
      <w:pPr>
        <w:pStyle w:val="60"/>
        <w:outlineLvl w:val="0"/>
      </w:pPr>
      <w:r>
        <w:rPr>
          <w:rFonts w:hint="eastAsia"/>
        </w:rPr>
        <w:t>7　技术服务、工厂检验</w:t>
      </w:r>
      <w:bookmarkEnd w:id="17"/>
    </w:p>
    <w:p w14:paraId="075FED79">
      <w:pPr>
        <w:pStyle w:val="59"/>
      </w:pPr>
      <w:r>
        <w:rPr>
          <w:rFonts w:hint="eastAsia"/>
        </w:rPr>
        <w:t>7</w:t>
      </w:r>
      <w:r>
        <w:rPr>
          <w:rFonts w:hint="eastAsia"/>
          <w:spacing w:val="20"/>
        </w:rPr>
        <w:t>.</w:t>
      </w:r>
      <w:r>
        <w:rPr>
          <w:rFonts w:hint="eastAsia"/>
        </w:rPr>
        <w:t>1　技术服务</w:t>
      </w:r>
    </w:p>
    <w:p w14:paraId="04E447D9">
      <w:pPr>
        <w:topLinePunct/>
        <w:spacing w:line="312" w:lineRule="exact"/>
        <w:ind w:firstLine="210" w:firstLineChars="100"/>
        <w:rPr>
          <w:snapToGrid w:val="0"/>
          <w:szCs w:val="21"/>
        </w:rPr>
      </w:pPr>
      <w:r>
        <w:rPr>
          <w:rFonts w:hint="eastAsia" w:ascii="EU-F1"/>
          <w:snapToGrid w:val="0"/>
          <w:szCs w:val="21"/>
        </w:rPr>
        <w:t>　</w:t>
      </w:r>
      <w:r>
        <w:rPr>
          <w:rFonts w:hint="eastAsia"/>
          <w:snapToGrid w:val="0"/>
          <w:szCs w:val="21"/>
        </w:rPr>
        <w:t>任务和责任：</w:t>
      </w:r>
    </w:p>
    <w:p w14:paraId="3DF3D581">
      <w:pPr>
        <w:ind w:left="840" w:hanging="420"/>
      </w:pPr>
      <w:r>
        <w:t>a</w:t>
      </w:r>
      <w:r>
        <w:rPr>
          <w:rFonts w:hint="eastAsia"/>
        </w:rPr>
        <w:t>）</w:t>
      </w:r>
      <w:r>
        <w:tab/>
      </w:r>
      <w:r>
        <w:rPr>
          <w:rFonts w:hint="eastAsia"/>
        </w:rPr>
        <w:t>投标人技术人员应按合同规定完成有关产品的技术服务。</w:t>
      </w:r>
    </w:p>
    <w:p w14:paraId="0A2CFBDC">
      <w:pPr>
        <w:ind w:left="840" w:hanging="420"/>
      </w:pPr>
      <w:r>
        <w:t>b</w:t>
      </w:r>
      <w:r>
        <w:rPr>
          <w:rFonts w:hint="eastAsia"/>
        </w:rPr>
        <w:t>）</w:t>
      </w:r>
      <w:r>
        <w:tab/>
      </w:r>
      <w:r>
        <w:rPr>
          <w:rFonts w:hint="eastAsia"/>
        </w:rPr>
        <w:t>投标人技术人员应对招标人人员详细地解释产品特性、分析方法和有关的注意事项等，以及解答和解决招标人在合同范围内提出的技术问题。</w:t>
      </w:r>
    </w:p>
    <w:p w14:paraId="58F8AD53">
      <w:pPr>
        <w:ind w:left="840" w:hanging="420"/>
      </w:pPr>
      <w:r>
        <w:t>c</w:t>
      </w:r>
      <w:r>
        <w:rPr>
          <w:rFonts w:hint="eastAsia"/>
        </w:rPr>
        <w:t>）</w:t>
      </w:r>
      <w:r>
        <w:tab/>
      </w:r>
      <w:r>
        <w:rPr>
          <w:rFonts w:hint="eastAsia"/>
        </w:rPr>
        <w:t>投标人技术人员的技术指导应是正确的，如因错误指导而引起产品和材料的损坏，投标人应负责修复、更换和（或）补充，费用由投标人承担，该费用中还包括进行修补期间所发生的服务费。招标人的有关技术人员应尊重卖方技术人员的技术指导。</w:t>
      </w:r>
    </w:p>
    <w:p w14:paraId="09137851">
      <w:pPr>
        <w:ind w:left="840" w:hanging="420"/>
      </w:pPr>
      <w:r>
        <w:rPr>
          <w:rFonts w:hint="eastAsia"/>
        </w:rPr>
        <w:t>d）</w:t>
      </w:r>
      <w:r>
        <w:tab/>
      </w:r>
      <w:r>
        <w:rPr>
          <w:rFonts w:hint="eastAsia"/>
        </w:rPr>
        <w:t>投标人代表应充分理解招标人对产品提出的技术和质量方面的意见和建议，使产品达到双方都满意的质量。</w:t>
      </w:r>
      <w:bookmarkStart w:id="18" w:name="_Toc327369532"/>
    </w:p>
    <w:bookmarkEnd w:id="18"/>
    <w:p w14:paraId="636F1BD1">
      <w:pPr>
        <w:pStyle w:val="59"/>
      </w:pPr>
      <w:r>
        <w:rPr>
          <w:rFonts w:hint="eastAsia"/>
        </w:rPr>
        <w:t>7</w:t>
      </w:r>
      <w:r>
        <w:rPr>
          <w:rFonts w:hint="eastAsia"/>
          <w:spacing w:val="20"/>
        </w:rPr>
        <w:t>.</w:t>
      </w:r>
      <w:r>
        <w:rPr>
          <w:rFonts w:hint="eastAsia"/>
        </w:rPr>
        <w:t>2　</w:t>
      </w:r>
      <w:r>
        <w:rPr>
          <w:rFonts w:hint="eastAsia"/>
          <w:snapToGrid w:val="0"/>
        </w:rPr>
        <w:t>工厂检验</w:t>
      </w:r>
    </w:p>
    <w:p w14:paraId="72AE71E6">
      <w:pPr>
        <w:topLinePunct/>
        <w:spacing w:line="312" w:lineRule="exact"/>
        <w:rPr>
          <w:snapToGrid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2</w:t>
      </w:r>
      <w:r>
        <w:rPr>
          <w:rFonts w:hint="eastAsia" w:ascii="EU-F1"/>
          <w:snapToGrid w:val="0"/>
          <w:spacing w:val="20"/>
          <w:szCs w:val="21"/>
        </w:rPr>
        <w:t>.</w:t>
      </w:r>
      <w:r>
        <w:rPr>
          <w:rFonts w:hint="eastAsia" w:ascii="EU-F1"/>
          <w:snapToGrid w:val="0"/>
          <w:szCs w:val="21"/>
        </w:rPr>
        <w:t>1　</w:t>
      </w:r>
      <w:r>
        <w:rPr>
          <w:rFonts w:hint="eastAsia"/>
          <w:snapToGrid w:val="0"/>
          <w:szCs w:val="21"/>
        </w:rPr>
        <w:t>招标人有权派遣其检验人员到投标人的车间场所，对合同产品的加工制造进行检验。</w:t>
      </w:r>
    </w:p>
    <w:p w14:paraId="01046668">
      <w:pPr>
        <w:topLinePunct/>
        <w:spacing w:line="312" w:lineRule="exact"/>
        <w:rPr>
          <w:snapToGrid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2</w:t>
      </w:r>
      <w:r>
        <w:rPr>
          <w:rFonts w:hint="eastAsia" w:ascii="EU-F1"/>
          <w:snapToGrid w:val="0"/>
          <w:spacing w:val="20"/>
          <w:szCs w:val="21"/>
        </w:rPr>
        <w:t>.</w:t>
      </w:r>
      <w:r>
        <w:rPr>
          <w:rFonts w:hint="eastAsia" w:ascii="EU-F1"/>
          <w:snapToGrid w:val="0"/>
          <w:szCs w:val="21"/>
        </w:rPr>
        <w:t>2　</w:t>
      </w:r>
      <w:r>
        <w:rPr>
          <w:rFonts w:hint="eastAsia"/>
          <w:snapToGrid w:val="0"/>
          <w:szCs w:val="21"/>
        </w:rPr>
        <w:t>如经检验和试验有不符合技术规范的合同产品，招标人可以拒收，投标人应无偿给予更换。</w:t>
      </w:r>
    </w:p>
    <w:p w14:paraId="32D8BE5B">
      <w:pPr>
        <w:topLinePunct/>
        <w:spacing w:line="312" w:lineRule="exact"/>
        <w:rPr>
          <w:rFonts w:hint="eastAsia" w:ascii="宋体" w:hAnsi="宋体"/>
          <w:snapToGrid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2</w:t>
      </w:r>
      <w:r>
        <w:rPr>
          <w:rFonts w:hint="eastAsia" w:ascii="EU-F1"/>
          <w:snapToGrid w:val="0"/>
          <w:spacing w:val="20"/>
          <w:szCs w:val="21"/>
        </w:rPr>
        <w:t>.</w:t>
      </w:r>
      <w:r>
        <w:rPr>
          <w:rFonts w:hint="eastAsia" w:ascii="EU-F1"/>
          <w:snapToGrid w:val="0"/>
          <w:szCs w:val="21"/>
        </w:rPr>
        <w:t>3　</w:t>
      </w:r>
      <w:r>
        <w:rPr>
          <w:rFonts w:hint="eastAsia" w:ascii="宋体" w:hAnsi="宋体"/>
          <w:snapToGrid w:val="0"/>
          <w:szCs w:val="21"/>
        </w:rPr>
        <w:t>合同产品运到招标人后，招标人有进行检验、试验和拒收（如果必要时）的权力，不得因该合同产品在原产地发运以前已经由招标人或其代表进行过检验并已通过作为理由而受到限制。投标人应在开始进行工厂试验前</w:t>
      </w:r>
      <w:r>
        <w:rPr>
          <w:rFonts w:hint="eastAsia" w:ascii="宋体" w:hAnsi="宋体"/>
          <w:snapToGrid w:val="0"/>
          <w:szCs w:val="21"/>
          <w:u w:val="single"/>
        </w:rPr>
        <w:t>　3　</w:t>
      </w:r>
      <w:r>
        <w:rPr>
          <w:rFonts w:hint="eastAsia" w:ascii="宋体" w:hAnsi="宋体"/>
          <w:snapToGrid w:val="0"/>
          <w:szCs w:val="21"/>
        </w:rPr>
        <w:t>天，通知招标人其日程安排。根据这个日程安排，招标人需确定要见证的项目，并在</w:t>
      </w:r>
      <w:r>
        <w:rPr>
          <w:rFonts w:hint="eastAsia" w:ascii="宋体" w:hAnsi="宋体"/>
          <w:snapToGrid w:val="0"/>
          <w:szCs w:val="21"/>
          <w:u w:val="single"/>
        </w:rPr>
        <w:t>　2　</w:t>
      </w:r>
      <w:r>
        <w:rPr>
          <w:rFonts w:hint="eastAsia" w:ascii="宋体" w:hAnsi="宋体"/>
          <w:snapToGrid w:val="0"/>
          <w:szCs w:val="21"/>
        </w:rPr>
        <w:t>天内通知投标人。招标人技术人员前往投标人生产现场，观察和了解该合同产品工厂试验的情况及其运输包装的情况时，若发现任一货物的质量不符合合同规定的标准，或包装不满足要求，招标人技术人员有权发表意见，投标人应认真考虑其意见，并采取必要措施以确保合同产品的质量。</w:t>
      </w:r>
    </w:p>
    <w:p w14:paraId="3D54BD2E">
      <w:pPr>
        <w:topLinePunct/>
        <w:spacing w:line="312" w:lineRule="exact"/>
        <w:rPr>
          <w:snapToGrid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2</w:t>
      </w:r>
      <w:r>
        <w:rPr>
          <w:rFonts w:hint="eastAsia" w:ascii="EU-F1"/>
          <w:snapToGrid w:val="0"/>
          <w:spacing w:val="20"/>
          <w:szCs w:val="21"/>
        </w:rPr>
        <w:t>.</w:t>
      </w:r>
      <w:r>
        <w:rPr>
          <w:rFonts w:hint="eastAsia" w:ascii="EU-F1"/>
          <w:snapToGrid w:val="0"/>
          <w:szCs w:val="21"/>
        </w:rPr>
        <w:t>4　</w:t>
      </w:r>
      <w:r>
        <w:rPr>
          <w:rFonts w:hint="eastAsia"/>
          <w:snapToGrid w:val="0"/>
          <w:szCs w:val="21"/>
        </w:rPr>
        <w:t>若招标人不派或未按时派遣技术人员参加上述试验，投标人应在接到招标人相关通知后，自行组织检验。</w:t>
      </w:r>
    </w:p>
    <w:p w14:paraId="2CF19C3D">
      <w:pPr>
        <w:pStyle w:val="59"/>
      </w:pPr>
      <w:bookmarkStart w:id="19" w:name="_Toc269375989"/>
      <w:bookmarkStart w:id="20" w:name="_Toc178439789"/>
      <w:r>
        <w:rPr>
          <w:rFonts w:hint="eastAsia"/>
        </w:rPr>
        <w:t>7</w:t>
      </w:r>
      <w:r>
        <w:rPr>
          <w:rFonts w:hint="eastAsia"/>
          <w:spacing w:val="20"/>
        </w:rPr>
        <w:t>.3</w:t>
      </w:r>
      <w:r>
        <w:rPr>
          <w:rFonts w:hint="eastAsia"/>
        </w:rPr>
        <w:t>　</w:t>
      </w:r>
      <w:r>
        <w:rPr>
          <w:rFonts w:hint="eastAsia"/>
          <w:snapToGrid w:val="0"/>
        </w:rPr>
        <w:t>售后服务</w:t>
      </w:r>
    </w:p>
    <w:bookmarkEnd w:id="19"/>
    <w:bookmarkEnd w:id="20"/>
    <w:p w14:paraId="40D6E531">
      <w:pPr>
        <w:widowControl/>
        <w:jc w:val="left"/>
        <w:rPr>
          <w:snapToGrid w:val="0"/>
          <w:kern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3</w:t>
      </w:r>
      <w:r>
        <w:rPr>
          <w:rFonts w:hint="eastAsia" w:ascii="EU-F1"/>
          <w:snapToGrid w:val="0"/>
          <w:spacing w:val="20"/>
          <w:szCs w:val="21"/>
        </w:rPr>
        <w:t>.</w:t>
      </w:r>
      <w:r>
        <w:rPr>
          <w:rFonts w:hint="eastAsia" w:ascii="EU-F1"/>
          <w:snapToGrid w:val="0"/>
          <w:szCs w:val="21"/>
        </w:rPr>
        <w:t>1　</w:t>
      </w:r>
      <w:r>
        <w:rPr>
          <w:rFonts w:hint="eastAsia"/>
          <w:snapToGrid w:val="0"/>
          <w:kern w:val="0"/>
          <w:szCs w:val="21"/>
        </w:rPr>
        <w:t>保修期内产品出现不符合功能和技术指标要求的，供方应负责无偿修理或更换；保修期外供方更换损坏的产品，按成本收取维修费用。</w:t>
      </w:r>
    </w:p>
    <w:p w14:paraId="70BC92DE">
      <w:pPr>
        <w:widowControl/>
        <w:jc w:val="left"/>
        <w:rPr>
          <w:snapToGrid w:val="0"/>
          <w:kern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3</w:t>
      </w:r>
      <w:r>
        <w:rPr>
          <w:rFonts w:hint="eastAsia" w:ascii="EU-F1"/>
          <w:snapToGrid w:val="0"/>
          <w:spacing w:val="20"/>
          <w:szCs w:val="21"/>
        </w:rPr>
        <w:t>.</w:t>
      </w:r>
      <w:r>
        <w:rPr>
          <w:rFonts w:hint="eastAsia" w:ascii="EU-F1"/>
          <w:snapToGrid w:val="0"/>
          <w:szCs w:val="21"/>
        </w:rPr>
        <w:t>2　</w:t>
      </w:r>
      <w:r>
        <w:rPr>
          <w:rFonts w:hint="eastAsia"/>
          <w:snapToGrid w:val="0"/>
          <w:kern w:val="0"/>
          <w:szCs w:val="21"/>
        </w:rPr>
        <w:t>保修外重大缺陷，供方应负责及时无偿修理或更换。</w:t>
      </w:r>
    </w:p>
    <w:p w14:paraId="62A61A30">
      <w:pPr>
        <w:widowControl/>
        <w:jc w:val="left"/>
        <w:rPr>
          <w:snapToGrid w:val="0"/>
          <w:kern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3</w:t>
      </w:r>
      <w:r>
        <w:rPr>
          <w:rFonts w:hint="eastAsia" w:ascii="EU-F1"/>
          <w:snapToGrid w:val="0"/>
          <w:spacing w:val="20"/>
          <w:szCs w:val="21"/>
        </w:rPr>
        <w:t>.3</w:t>
      </w:r>
      <w:r>
        <w:rPr>
          <w:rFonts w:hint="eastAsia" w:ascii="EU-F1"/>
          <w:snapToGrid w:val="0"/>
          <w:szCs w:val="21"/>
        </w:rPr>
        <w:t>　</w:t>
      </w:r>
      <w:r>
        <w:rPr>
          <w:rFonts w:hint="eastAsia"/>
          <w:snapToGrid w:val="0"/>
          <w:kern w:val="0"/>
          <w:szCs w:val="21"/>
        </w:rPr>
        <w:t>出现异常、产品缺陷、元件损坏</w:t>
      </w:r>
      <w:r>
        <w:rPr>
          <w:snapToGrid w:val="0"/>
          <w:kern w:val="0"/>
          <w:szCs w:val="21"/>
        </w:rPr>
        <w:t>,</w:t>
      </w:r>
      <w:r>
        <w:rPr>
          <w:rFonts w:hint="eastAsia"/>
          <w:snapToGrid w:val="0"/>
          <w:kern w:val="0"/>
          <w:szCs w:val="21"/>
        </w:rPr>
        <w:t>现场无法处理时，供方接到买方通知后，应在</w:t>
      </w:r>
      <w:r>
        <w:rPr>
          <w:snapToGrid w:val="0"/>
          <w:kern w:val="0"/>
          <w:szCs w:val="21"/>
        </w:rPr>
        <w:t>4</w:t>
      </w:r>
      <w:r>
        <w:rPr>
          <w:rFonts w:hint="eastAsia"/>
          <w:snapToGrid w:val="0"/>
          <w:kern w:val="0"/>
          <w:szCs w:val="21"/>
        </w:rPr>
        <w:t>小时内响应，并立即派出项目技术人员在</w:t>
      </w:r>
      <w:r>
        <w:rPr>
          <w:snapToGrid w:val="0"/>
          <w:kern w:val="0"/>
          <w:szCs w:val="21"/>
        </w:rPr>
        <w:t>48</w:t>
      </w:r>
      <w:r>
        <w:rPr>
          <w:rFonts w:hint="eastAsia"/>
          <w:snapToGrid w:val="0"/>
          <w:kern w:val="0"/>
          <w:szCs w:val="21"/>
        </w:rPr>
        <w:t>小时内到达现场进行处理。</w:t>
      </w:r>
    </w:p>
    <w:p w14:paraId="55625243">
      <w:pPr>
        <w:pStyle w:val="60"/>
        <w:outlineLvl w:val="0"/>
      </w:pPr>
      <w:bookmarkStart w:id="21" w:name="_Toc438720048"/>
      <w:r>
        <w:rPr>
          <w:rFonts w:hint="eastAsia"/>
        </w:rPr>
        <w:t>8　报价表</w:t>
      </w:r>
      <w:bookmarkEnd w:id="21"/>
    </w:p>
    <w:p w14:paraId="70D25C9D">
      <w:pPr>
        <w:topLinePunct/>
        <w:spacing w:line="312" w:lineRule="exact"/>
        <w:ind w:firstLine="420"/>
        <w:rPr>
          <w:szCs w:val="21"/>
        </w:rPr>
      </w:pPr>
      <w:r>
        <w:rPr>
          <w:rFonts w:hint="eastAsia"/>
          <w:szCs w:val="21"/>
        </w:rPr>
        <w:t>报价表分为报价汇总表、分项报价表、</w:t>
      </w:r>
      <w:r>
        <w:rPr>
          <w:rFonts w:hint="eastAsia" w:ascii="宋体" w:hAnsi="宋体" w:cs="宋体"/>
          <w:color w:val="000000"/>
          <w:kern w:val="0"/>
          <w:sz w:val="22"/>
          <w:szCs w:val="22"/>
        </w:rPr>
        <w:t>货物单价分析表</w:t>
      </w:r>
      <w:r>
        <w:rPr>
          <w:rFonts w:hint="eastAsia"/>
          <w:szCs w:val="21"/>
        </w:rPr>
        <w:t>，投标人应严格按要求进行报价文件的制作。所有报价表单独密封。</w:t>
      </w:r>
    </w:p>
    <w:p w14:paraId="3562D62E">
      <w:pPr>
        <w:topLinePunct/>
        <w:spacing w:line="312" w:lineRule="exact"/>
        <w:ind w:firstLine="420"/>
        <w:rPr>
          <w:szCs w:val="21"/>
        </w:rPr>
      </w:pPr>
    </w:p>
    <w:p w14:paraId="03D8FE4C">
      <w:pPr>
        <w:topLinePunct/>
        <w:spacing w:line="312" w:lineRule="exact"/>
        <w:rPr>
          <w:szCs w:val="21"/>
        </w:rPr>
        <w:sectPr>
          <w:footerReference r:id="rId3" w:type="default"/>
          <w:footerReference r:id="rId4" w:type="even"/>
          <w:pgSz w:w="11906" w:h="16838"/>
          <w:pgMar w:top="1440" w:right="1800" w:bottom="1440" w:left="1800" w:header="851" w:footer="992" w:gutter="0"/>
          <w:cols w:space="425" w:num="1"/>
          <w:docGrid w:type="lines" w:linePitch="312" w:charSpace="0"/>
        </w:sectPr>
      </w:pPr>
    </w:p>
    <w:tbl>
      <w:tblPr>
        <w:tblStyle w:val="38"/>
        <w:tblW w:w="13099" w:type="dxa"/>
        <w:tblInd w:w="97" w:type="dxa"/>
        <w:tblLayout w:type="fixed"/>
        <w:tblCellMar>
          <w:top w:w="0" w:type="dxa"/>
          <w:left w:w="108" w:type="dxa"/>
          <w:bottom w:w="0" w:type="dxa"/>
          <w:right w:w="108" w:type="dxa"/>
        </w:tblCellMar>
      </w:tblPr>
      <w:tblGrid>
        <w:gridCol w:w="720"/>
        <w:gridCol w:w="2084"/>
        <w:gridCol w:w="2397"/>
        <w:gridCol w:w="1561"/>
        <w:gridCol w:w="1279"/>
        <w:gridCol w:w="1678"/>
        <w:gridCol w:w="1742"/>
        <w:gridCol w:w="1638"/>
      </w:tblGrid>
      <w:tr w14:paraId="260141EC">
        <w:tblPrEx>
          <w:tblCellMar>
            <w:top w:w="0" w:type="dxa"/>
            <w:left w:w="108" w:type="dxa"/>
            <w:bottom w:w="0" w:type="dxa"/>
            <w:right w:w="108" w:type="dxa"/>
          </w:tblCellMar>
        </w:tblPrEx>
        <w:trPr>
          <w:trHeight w:val="1355" w:hRule="atLeast"/>
        </w:trPr>
        <w:tc>
          <w:tcPr>
            <w:tcW w:w="13099" w:type="dxa"/>
            <w:gridSpan w:val="8"/>
            <w:tcBorders>
              <w:top w:val="nil"/>
              <w:left w:val="nil"/>
              <w:bottom w:val="single" w:color="auto" w:sz="4" w:space="0"/>
              <w:right w:val="nil"/>
            </w:tcBorders>
            <w:shd w:val="clear" w:color="auto" w:fill="auto"/>
            <w:vAlign w:val="center"/>
          </w:tcPr>
          <w:p w14:paraId="380C695E">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报价汇总表</w:t>
            </w:r>
          </w:p>
        </w:tc>
      </w:tr>
      <w:tr w14:paraId="28E0820D">
        <w:tblPrEx>
          <w:tblCellMar>
            <w:top w:w="0" w:type="dxa"/>
            <w:left w:w="108" w:type="dxa"/>
            <w:bottom w:w="0" w:type="dxa"/>
            <w:right w:w="108" w:type="dxa"/>
          </w:tblCellMar>
        </w:tblPrEx>
        <w:trPr>
          <w:trHeight w:val="287"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5A897E88">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序号</w:t>
            </w:r>
          </w:p>
        </w:tc>
        <w:tc>
          <w:tcPr>
            <w:tcW w:w="2084" w:type="dxa"/>
            <w:tcBorders>
              <w:top w:val="nil"/>
              <w:left w:val="nil"/>
              <w:bottom w:val="single" w:color="auto" w:sz="4" w:space="0"/>
              <w:right w:val="single" w:color="auto" w:sz="4" w:space="0"/>
            </w:tcBorders>
            <w:shd w:val="clear" w:color="auto" w:fill="auto"/>
            <w:vAlign w:val="center"/>
          </w:tcPr>
          <w:p w14:paraId="26126B10">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名称</w:t>
            </w:r>
          </w:p>
        </w:tc>
        <w:tc>
          <w:tcPr>
            <w:tcW w:w="2397" w:type="dxa"/>
            <w:tcBorders>
              <w:top w:val="nil"/>
              <w:left w:val="nil"/>
              <w:bottom w:val="single" w:color="auto" w:sz="4" w:space="0"/>
              <w:right w:val="single" w:color="auto" w:sz="4" w:space="0"/>
            </w:tcBorders>
            <w:shd w:val="clear" w:color="auto" w:fill="auto"/>
            <w:vAlign w:val="center"/>
          </w:tcPr>
          <w:p w14:paraId="777071E8">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规格型号</w:t>
            </w:r>
          </w:p>
        </w:tc>
        <w:tc>
          <w:tcPr>
            <w:tcW w:w="1561" w:type="dxa"/>
            <w:tcBorders>
              <w:top w:val="nil"/>
              <w:left w:val="nil"/>
              <w:bottom w:val="single" w:color="auto" w:sz="4" w:space="0"/>
              <w:right w:val="single" w:color="auto" w:sz="4" w:space="0"/>
            </w:tcBorders>
            <w:shd w:val="clear" w:color="auto" w:fill="auto"/>
            <w:vAlign w:val="center"/>
          </w:tcPr>
          <w:p w14:paraId="3C1BA41A">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单位</w:t>
            </w:r>
          </w:p>
        </w:tc>
        <w:tc>
          <w:tcPr>
            <w:tcW w:w="1279" w:type="dxa"/>
            <w:tcBorders>
              <w:top w:val="nil"/>
              <w:left w:val="nil"/>
              <w:bottom w:val="single" w:color="auto" w:sz="4" w:space="0"/>
              <w:right w:val="single" w:color="auto" w:sz="4" w:space="0"/>
            </w:tcBorders>
            <w:shd w:val="clear" w:color="auto" w:fill="auto"/>
            <w:vAlign w:val="center"/>
          </w:tcPr>
          <w:p w14:paraId="3A9840EE">
            <w:pPr>
              <w:widowControl/>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数量</w:t>
            </w:r>
          </w:p>
        </w:tc>
        <w:tc>
          <w:tcPr>
            <w:tcW w:w="1678" w:type="dxa"/>
            <w:tcBorders>
              <w:top w:val="nil"/>
              <w:left w:val="nil"/>
              <w:bottom w:val="single" w:color="auto" w:sz="4" w:space="0"/>
              <w:right w:val="single" w:color="auto" w:sz="4" w:space="0"/>
            </w:tcBorders>
            <w:shd w:val="clear" w:color="auto" w:fill="auto"/>
            <w:vAlign w:val="center"/>
          </w:tcPr>
          <w:p w14:paraId="2F96E378">
            <w:pPr>
              <w:widowControl/>
              <w:jc w:val="center"/>
              <w:rPr>
                <w:rFonts w:hint="eastAsia" w:ascii="宋体" w:hAnsi="宋体" w:eastAsia="宋体" w:cs="宋体"/>
                <w:color w:val="000000"/>
                <w:kern w:val="0"/>
                <w:sz w:val="22"/>
                <w:szCs w:val="22"/>
                <w:lang w:eastAsia="zh-CN"/>
              </w:rPr>
            </w:pPr>
            <w:r>
              <w:rPr>
                <w:rFonts w:hint="eastAsia" w:ascii="宋体" w:hAnsi="宋体" w:cs="宋体"/>
                <w:color w:val="000000"/>
                <w:kern w:val="0"/>
                <w:sz w:val="22"/>
                <w:szCs w:val="22"/>
                <w:lang w:val="en-US" w:eastAsia="zh-CN"/>
              </w:rPr>
              <w:t>单价</w:t>
            </w:r>
          </w:p>
        </w:tc>
        <w:tc>
          <w:tcPr>
            <w:tcW w:w="1742" w:type="dxa"/>
            <w:tcBorders>
              <w:top w:val="nil"/>
              <w:left w:val="nil"/>
              <w:bottom w:val="single" w:color="auto" w:sz="4" w:space="0"/>
              <w:right w:val="single" w:color="auto" w:sz="4" w:space="0"/>
            </w:tcBorders>
            <w:shd w:val="clear" w:color="auto" w:fill="auto"/>
            <w:vAlign w:val="center"/>
          </w:tcPr>
          <w:p w14:paraId="679E7908">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合计</w:t>
            </w:r>
          </w:p>
        </w:tc>
        <w:tc>
          <w:tcPr>
            <w:tcW w:w="1638" w:type="dxa"/>
            <w:tcBorders>
              <w:top w:val="nil"/>
              <w:left w:val="nil"/>
              <w:bottom w:val="single" w:color="auto" w:sz="4" w:space="0"/>
              <w:right w:val="single" w:color="auto" w:sz="4" w:space="0"/>
            </w:tcBorders>
            <w:vAlign w:val="center"/>
          </w:tcPr>
          <w:p w14:paraId="728E640D">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其他说明</w:t>
            </w:r>
          </w:p>
        </w:tc>
      </w:tr>
      <w:tr w14:paraId="2191D2A8">
        <w:tblPrEx>
          <w:tblCellMar>
            <w:top w:w="0" w:type="dxa"/>
            <w:left w:w="108" w:type="dxa"/>
            <w:bottom w:w="0" w:type="dxa"/>
            <w:right w:w="108" w:type="dxa"/>
          </w:tblCellMar>
        </w:tblPrEx>
        <w:trPr>
          <w:trHeight w:val="323"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3589345F">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1</w:t>
            </w:r>
          </w:p>
        </w:tc>
        <w:tc>
          <w:tcPr>
            <w:tcW w:w="2084" w:type="dxa"/>
            <w:tcBorders>
              <w:top w:val="nil"/>
              <w:left w:val="nil"/>
              <w:bottom w:val="single" w:color="auto" w:sz="4" w:space="0"/>
              <w:right w:val="single" w:color="auto" w:sz="4" w:space="0"/>
            </w:tcBorders>
            <w:shd w:val="clear" w:color="auto" w:fill="auto"/>
            <w:vAlign w:val="center"/>
          </w:tcPr>
          <w:p w14:paraId="46CD6468">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lang w:val="en-US" w:eastAsia="zh-CN"/>
              </w:rPr>
              <w:t>膜包扁铜线加工费</w:t>
            </w:r>
          </w:p>
        </w:tc>
        <w:tc>
          <w:tcPr>
            <w:tcW w:w="2397" w:type="dxa"/>
            <w:tcBorders>
              <w:top w:val="nil"/>
              <w:left w:val="nil"/>
              <w:bottom w:val="single" w:color="auto" w:sz="4" w:space="0"/>
              <w:right w:val="single" w:color="auto" w:sz="4" w:space="0"/>
            </w:tcBorders>
            <w:shd w:val="clear" w:color="auto" w:fill="auto"/>
            <w:vAlign w:val="center"/>
          </w:tcPr>
          <w:p w14:paraId="51348E84">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lang w:val="en-US" w:eastAsia="zh-CN"/>
              </w:rPr>
              <w:t>2.75x7.5/3.05x7.85</w:t>
            </w:r>
          </w:p>
        </w:tc>
        <w:tc>
          <w:tcPr>
            <w:tcW w:w="1561" w:type="dxa"/>
            <w:tcBorders>
              <w:top w:val="nil"/>
              <w:left w:val="nil"/>
              <w:bottom w:val="single" w:color="auto" w:sz="4" w:space="0"/>
              <w:right w:val="single" w:color="auto" w:sz="4" w:space="0"/>
            </w:tcBorders>
            <w:shd w:val="clear" w:color="auto" w:fill="auto"/>
            <w:vAlign w:val="center"/>
          </w:tcPr>
          <w:p w14:paraId="154574B4">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lang w:val="en-US" w:eastAsia="zh-CN"/>
              </w:rPr>
              <w:t>公斤</w:t>
            </w:r>
          </w:p>
        </w:tc>
        <w:tc>
          <w:tcPr>
            <w:tcW w:w="1279" w:type="dxa"/>
            <w:tcBorders>
              <w:top w:val="nil"/>
              <w:left w:val="nil"/>
              <w:bottom w:val="single" w:color="auto" w:sz="4" w:space="0"/>
              <w:right w:val="single" w:color="auto" w:sz="4" w:space="0"/>
            </w:tcBorders>
            <w:shd w:val="clear" w:color="auto" w:fill="auto"/>
            <w:vAlign w:val="center"/>
          </w:tcPr>
          <w:p w14:paraId="1D40FC27">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lang w:val="en-US" w:eastAsia="zh-CN"/>
              </w:rPr>
              <w:t>1</w:t>
            </w:r>
          </w:p>
        </w:tc>
        <w:tc>
          <w:tcPr>
            <w:tcW w:w="1678" w:type="dxa"/>
            <w:tcBorders>
              <w:top w:val="nil"/>
              <w:left w:val="nil"/>
              <w:bottom w:val="single" w:color="auto" w:sz="4" w:space="0"/>
              <w:right w:val="single" w:color="auto" w:sz="4" w:space="0"/>
            </w:tcBorders>
            <w:shd w:val="clear" w:color="auto" w:fill="auto"/>
            <w:vAlign w:val="center"/>
          </w:tcPr>
          <w:p w14:paraId="2D8BADF6">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　　</w:t>
            </w:r>
          </w:p>
        </w:tc>
        <w:tc>
          <w:tcPr>
            <w:tcW w:w="1742" w:type="dxa"/>
            <w:tcBorders>
              <w:top w:val="nil"/>
              <w:left w:val="nil"/>
              <w:bottom w:val="single" w:color="auto" w:sz="4" w:space="0"/>
              <w:right w:val="single" w:color="auto" w:sz="4" w:space="0"/>
            </w:tcBorders>
            <w:shd w:val="clear" w:color="auto" w:fill="auto"/>
            <w:vAlign w:val="center"/>
          </w:tcPr>
          <w:p w14:paraId="6B5CC0FD">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　</w:t>
            </w:r>
          </w:p>
        </w:tc>
        <w:tc>
          <w:tcPr>
            <w:tcW w:w="1638" w:type="dxa"/>
            <w:tcBorders>
              <w:top w:val="nil"/>
              <w:left w:val="nil"/>
              <w:bottom w:val="single" w:color="auto" w:sz="4" w:space="0"/>
              <w:right w:val="single" w:color="auto" w:sz="4" w:space="0"/>
            </w:tcBorders>
          </w:tcPr>
          <w:p w14:paraId="5108F370">
            <w:pPr>
              <w:widowControl/>
              <w:jc w:val="left"/>
              <w:rPr>
                <w:rFonts w:hint="eastAsia" w:ascii="宋体" w:hAnsi="宋体" w:cs="宋体"/>
                <w:color w:val="000000"/>
                <w:kern w:val="0"/>
                <w:sz w:val="22"/>
                <w:szCs w:val="22"/>
              </w:rPr>
            </w:pPr>
          </w:p>
        </w:tc>
      </w:tr>
      <w:tr w14:paraId="440FA305">
        <w:tblPrEx>
          <w:tblCellMar>
            <w:top w:w="0" w:type="dxa"/>
            <w:left w:w="108" w:type="dxa"/>
            <w:bottom w:w="0" w:type="dxa"/>
            <w:right w:w="108" w:type="dxa"/>
          </w:tblCellMar>
        </w:tblPrEx>
        <w:trPr>
          <w:trHeight w:val="414" w:hRule="atLeast"/>
        </w:trPr>
        <w:tc>
          <w:tcPr>
            <w:tcW w:w="13099" w:type="dxa"/>
            <w:gridSpan w:val="8"/>
            <w:tcBorders>
              <w:top w:val="single" w:color="auto" w:sz="4" w:space="0"/>
              <w:left w:val="single" w:color="auto" w:sz="4" w:space="0"/>
              <w:bottom w:val="single" w:color="auto" w:sz="4" w:space="0"/>
              <w:right w:val="single" w:color="000000" w:sz="4" w:space="0"/>
            </w:tcBorders>
            <w:shd w:val="clear" w:color="auto" w:fill="auto"/>
            <w:vAlign w:val="center"/>
          </w:tcPr>
          <w:p w14:paraId="231A4E74">
            <w:pPr>
              <w:rPr>
                <w:color w:val="000000"/>
                <w:sz w:val="22"/>
                <w:szCs w:val="22"/>
              </w:rPr>
            </w:pPr>
            <w:bookmarkStart w:id="22" w:name="_GoBack"/>
            <w:bookmarkEnd w:id="22"/>
            <w:r>
              <w:rPr>
                <w:rFonts w:hint="eastAsia"/>
                <w:color w:val="000000"/>
                <w:sz w:val="22"/>
                <w:szCs w:val="22"/>
              </w:rPr>
              <w:t>说明：1、投标单位需严格按照此格式进行报价。</w:t>
            </w:r>
          </w:p>
        </w:tc>
      </w:tr>
      <w:tr w14:paraId="7D1DED1B">
        <w:tblPrEx>
          <w:tblCellMar>
            <w:top w:w="0" w:type="dxa"/>
            <w:left w:w="108" w:type="dxa"/>
            <w:bottom w:w="0" w:type="dxa"/>
            <w:right w:w="108" w:type="dxa"/>
          </w:tblCellMar>
        </w:tblPrEx>
        <w:trPr>
          <w:trHeight w:val="414" w:hRule="atLeast"/>
        </w:trPr>
        <w:tc>
          <w:tcPr>
            <w:tcW w:w="13099" w:type="dxa"/>
            <w:gridSpan w:val="8"/>
            <w:tcBorders>
              <w:top w:val="single" w:color="auto" w:sz="4" w:space="0"/>
              <w:left w:val="single" w:color="auto" w:sz="4" w:space="0"/>
              <w:bottom w:val="single" w:color="auto" w:sz="4" w:space="0"/>
              <w:right w:val="single" w:color="000000" w:sz="4" w:space="0"/>
            </w:tcBorders>
            <w:shd w:val="clear" w:color="auto" w:fill="auto"/>
            <w:vAlign w:val="center"/>
          </w:tcPr>
          <w:p w14:paraId="19DD7907">
            <w:pPr>
              <w:rPr>
                <w:color w:val="000000"/>
                <w:sz w:val="22"/>
                <w:szCs w:val="22"/>
              </w:rPr>
            </w:pPr>
            <w:r>
              <w:rPr>
                <w:rFonts w:hint="eastAsia"/>
                <w:color w:val="000000"/>
                <w:sz w:val="22"/>
                <w:szCs w:val="22"/>
              </w:rPr>
              <w:t>2、</w:t>
            </w:r>
            <w:r>
              <w:rPr>
                <w:rFonts w:hint="eastAsia" w:ascii="宋体" w:hAnsi="宋体" w:cs="宋体"/>
                <w:color w:val="000000"/>
                <w:kern w:val="0"/>
                <w:sz w:val="22"/>
                <w:szCs w:val="22"/>
              </w:rPr>
              <w:t>招标报价只报加工费用。</w:t>
            </w:r>
          </w:p>
        </w:tc>
      </w:tr>
      <w:tr w14:paraId="1A04965D">
        <w:tblPrEx>
          <w:tblCellMar>
            <w:top w:w="0" w:type="dxa"/>
            <w:left w:w="108" w:type="dxa"/>
            <w:bottom w:w="0" w:type="dxa"/>
            <w:right w:w="108" w:type="dxa"/>
          </w:tblCellMar>
        </w:tblPrEx>
        <w:trPr>
          <w:trHeight w:val="421" w:hRule="atLeast"/>
        </w:trPr>
        <w:tc>
          <w:tcPr>
            <w:tcW w:w="13099" w:type="dxa"/>
            <w:gridSpan w:val="8"/>
            <w:tcBorders>
              <w:top w:val="single" w:color="auto" w:sz="4" w:space="0"/>
              <w:left w:val="single" w:color="auto" w:sz="4" w:space="0"/>
              <w:bottom w:val="single" w:color="auto" w:sz="4" w:space="0"/>
              <w:right w:val="single" w:color="000000" w:sz="4" w:space="0"/>
            </w:tcBorders>
            <w:shd w:val="clear" w:color="auto" w:fill="auto"/>
            <w:vAlign w:val="center"/>
          </w:tcPr>
          <w:p w14:paraId="165CFD99">
            <w:pPr>
              <w:rPr>
                <w:color w:val="000000"/>
                <w:sz w:val="22"/>
                <w:szCs w:val="22"/>
              </w:rPr>
            </w:pPr>
            <w:r>
              <w:rPr>
                <w:rFonts w:hint="eastAsia"/>
                <w:color w:val="000000"/>
                <w:sz w:val="22"/>
                <w:szCs w:val="22"/>
              </w:rPr>
              <w:t>3、本招标为年度框架招标，本报价仅列出常用型号，用户报价时需提供产品样本及价格表，如采购时产生不在本报价型号的产品型号，则产品单价将按对应中标金额计算。项目价另议。</w:t>
            </w:r>
          </w:p>
        </w:tc>
      </w:tr>
    </w:tbl>
    <w:p w14:paraId="69513513">
      <w:pPr>
        <w:topLinePunct/>
        <w:spacing w:line="312" w:lineRule="exact"/>
      </w:pPr>
    </w:p>
    <w:p w14:paraId="69885DAA">
      <w:pPr>
        <w:topLinePunct/>
        <w:spacing w:line="312" w:lineRule="exact"/>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EU-F1">
    <w:altName w:val="宋体"/>
    <w:panose1 w:val="00000000000000000000"/>
    <w:charset w:val="86"/>
    <w:family w:val="auto"/>
    <w:pitch w:val="default"/>
    <w:sig w:usb0="00000000" w:usb1="00000000" w:usb2="0000001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汉仪中黑简">
    <w:altName w:val="宋体"/>
    <w:panose1 w:val="00000000000000000000"/>
    <w:charset w:val="86"/>
    <w:family w:val="decorative"/>
    <w:pitch w:val="default"/>
    <w:sig w:usb0="00000000" w:usb1="00000000" w:usb2="00000012" w:usb3="00000000" w:csb0="00040000" w:csb1="00000000"/>
  </w:font>
  <w:font w:name="汉仪大宋简">
    <w:altName w:val="宋体"/>
    <w:panose1 w:val="00000000000000000000"/>
    <w:charset w:val="86"/>
    <w:family w:val="decorative"/>
    <w:pitch w:val="default"/>
    <w:sig w:usb0="00000000" w:usb1="00000000" w:usb2="00000012" w:usb3="00000000" w:csb0="00040000" w:csb1="00000000"/>
  </w:font>
  <w:font w:name="汉仪书宋二简">
    <w:altName w:val="宋体"/>
    <w:panose1 w:val="00000000000000000000"/>
    <w:charset w:val="86"/>
    <w:family w:val="decorative"/>
    <w:pitch w:val="default"/>
    <w:sig w:usb0="00000000" w:usb1="00000000" w:usb2="00000012" w:usb3="00000000" w:csb0="00040000" w:csb1="00000000"/>
  </w:font>
  <w:font w:name="MingLiU">
    <w:altName w:val="PMingLiU-ExtB"/>
    <w:panose1 w:val="02010609000101010101"/>
    <w:charset w:val="88"/>
    <w:family w:val="modern"/>
    <w:pitch w:val="default"/>
    <w:sig w:usb0="00000000" w:usb1="00000000" w:usb2="00000016" w:usb3="00000000" w:csb0="00100001" w:csb1="00000000"/>
  </w:font>
  <w:font w:name="华文细黑">
    <w:panose1 w:val="02010600040101010101"/>
    <w:charset w:val="86"/>
    <w:family w:val="auto"/>
    <w:pitch w:val="default"/>
    <w:sig w:usb0="00000287" w:usb1="080F0000" w:usb2="00000000" w:usb3="00000000" w:csb0="0004009F" w:csb1="DFD70000"/>
  </w:font>
  <w:font w:name="楷体_GB2312">
    <w:altName w:val="楷体"/>
    <w:panose1 w:val="00000000000000000000"/>
    <w:charset w:val="86"/>
    <w:family w:val="decorative"/>
    <w:pitch w:val="default"/>
    <w:sig w:usb0="00000000" w:usb1="00000000" w:usb2="00000010" w:usb3="00000000" w:csb0="00040000" w:csb1="00000000"/>
  </w:font>
  <w:font w:name="仿宋_GB2312">
    <w:altName w:val="仿宋"/>
    <w:panose1 w:val="00000000000000000000"/>
    <w:charset w:val="86"/>
    <w:family w:val="decorative"/>
    <w:pitch w:val="default"/>
    <w:sig w:usb0="00000000" w:usb1="00000000" w:usb2="00000010" w:usb3="00000000" w:csb0="00040000" w:csb1="00000000"/>
  </w:font>
  <w:font w:name="..">
    <w:altName w:val="宋体"/>
    <w:panose1 w:val="00000000000000000000"/>
    <w:charset w:val="86"/>
    <w:family w:val="auto"/>
    <w:pitch w:val="default"/>
    <w:sig w:usb0="00000000" w:usb1="00000000" w:usb2="00000010" w:usb3="00000000" w:csb0="00040000" w:csb1="00000000"/>
  </w:font>
  <w:font w:name="Calibri Light">
    <w:panose1 w:val="020F0302020204030204"/>
    <w:charset w:val="00"/>
    <w:family w:val="swiss"/>
    <w:pitch w:val="default"/>
    <w:sig w:usb0="E4002EFF" w:usb1="C200247B" w:usb2="00000009" w:usb3="00000000" w:csb0="200001FF" w:csb1="00000000"/>
  </w:font>
  <w:font w:name="方正小标宋简体">
    <w:altName w:val="微软雅黑"/>
    <w:panose1 w:val="00000000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PMingLiU-ExtB">
    <w:panose1 w:val="02020500000000000000"/>
    <w:charset w:val="88"/>
    <w:family w:val="auto"/>
    <w:pitch w:val="default"/>
    <w:sig w:usb0="8000002F" w:usb1="02000008" w:usb2="00000000" w:usb3="00000000" w:csb0="0010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757B4D">
    <w:pPr>
      <w:pStyle w:val="26"/>
      <w:jc w:val="center"/>
    </w:pPr>
    <w:r>
      <w:fldChar w:fldCharType="begin"/>
    </w:r>
    <w:r>
      <w:instrText xml:space="preserve"> PAGE   \* MERGEFORMAT </w:instrText>
    </w:r>
    <w:r>
      <w:fldChar w:fldCharType="separate"/>
    </w:r>
    <w:r>
      <w:t>3</w:t>
    </w:r>
    <w:r>
      <w:rPr>
        <w:lang w:val="zh-CN"/>
      </w:rPr>
      <w:fldChar w:fldCharType="end"/>
    </w:r>
  </w:p>
  <w:p w14:paraId="14D332DB">
    <w:pPr>
      <w:pStyle w:val="2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ADA588">
    <w:pPr>
      <w:pStyle w:val="26"/>
      <w:jc w:val="center"/>
    </w:pPr>
    <w:r>
      <w:fldChar w:fldCharType="begin"/>
    </w:r>
    <w:r>
      <w:instrText xml:space="preserve"> PAGE   \* MERGEFORMAT </w:instrText>
    </w:r>
    <w:r>
      <w:fldChar w:fldCharType="separate"/>
    </w:r>
    <w:r>
      <w:t>1</w:t>
    </w:r>
    <w:r>
      <w:rPr>
        <w:lang w:val="zh-CN"/>
      </w:rPr>
      <w:fldChar w:fldCharType="end"/>
    </w:r>
  </w:p>
  <w:p w14:paraId="7E067F8E">
    <w:pPr>
      <w:pStyle w:val="2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9D5601"/>
    <w:multiLevelType w:val="multilevel"/>
    <w:tmpl w:val="549D5601"/>
    <w:lvl w:ilvl="0" w:tentative="0">
      <w:start w:val="1"/>
      <w:numFmt w:val="lowerLetter"/>
      <w:lvlText w:val="%1)"/>
      <w:lvlJc w:val="left"/>
      <w:pPr>
        <w:ind w:left="780" w:hanging="360"/>
      </w:pPr>
      <w:rPr>
        <w:rFonts w:hint="default"/>
      </w:rPr>
    </w:lvl>
    <w:lvl w:ilvl="1" w:tentative="0">
      <w:start w:val="1"/>
      <w:numFmt w:val="lowerLetter"/>
      <w:lvlText w:val="%2)"/>
      <w:lvlJc w:val="left"/>
      <w:pPr>
        <w:ind w:left="1300" w:hanging="440"/>
      </w:pPr>
    </w:lvl>
    <w:lvl w:ilvl="2" w:tentative="0">
      <w:start w:val="1"/>
      <w:numFmt w:val="lowerRoman"/>
      <w:lvlText w:val="%3."/>
      <w:lvlJc w:val="right"/>
      <w:pPr>
        <w:ind w:left="1740" w:hanging="440"/>
      </w:pPr>
    </w:lvl>
    <w:lvl w:ilvl="3" w:tentative="0">
      <w:start w:val="1"/>
      <w:numFmt w:val="decimal"/>
      <w:lvlText w:val="%4."/>
      <w:lvlJc w:val="left"/>
      <w:pPr>
        <w:ind w:left="2180" w:hanging="440"/>
      </w:pPr>
    </w:lvl>
    <w:lvl w:ilvl="4" w:tentative="0">
      <w:start w:val="1"/>
      <w:numFmt w:val="lowerLetter"/>
      <w:lvlText w:val="%5)"/>
      <w:lvlJc w:val="left"/>
      <w:pPr>
        <w:ind w:left="2620" w:hanging="440"/>
      </w:pPr>
    </w:lvl>
    <w:lvl w:ilvl="5" w:tentative="0">
      <w:start w:val="1"/>
      <w:numFmt w:val="lowerRoman"/>
      <w:lvlText w:val="%6."/>
      <w:lvlJc w:val="right"/>
      <w:pPr>
        <w:ind w:left="3060" w:hanging="440"/>
      </w:pPr>
    </w:lvl>
    <w:lvl w:ilvl="6" w:tentative="0">
      <w:start w:val="1"/>
      <w:numFmt w:val="decimal"/>
      <w:lvlText w:val="%7."/>
      <w:lvlJc w:val="left"/>
      <w:pPr>
        <w:ind w:left="3500" w:hanging="440"/>
      </w:pPr>
    </w:lvl>
    <w:lvl w:ilvl="7" w:tentative="0">
      <w:start w:val="1"/>
      <w:numFmt w:val="lowerLetter"/>
      <w:lvlText w:val="%8)"/>
      <w:lvlJc w:val="left"/>
      <w:pPr>
        <w:ind w:left="3940" w:hanging="440"/>
      </w:pPr>
    </w:lvl>
    <w:lvl w:ilvl="8" w:tentative="0">
      <w:start w:val="1"/>
      <w:numFmt w:val="lowerRoman"/>
      <w:lvlText w:val="%9."/>
      <w:lvlJc w:val="right"/>
      <w:pPr>
        <w:ind w:left="438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YwNjIxZDJiMWExOTEwMjNmNzRhZTAwMjgxOGE0N2IifQ=="/>
  </w:docVars>
  <w:rsids>
    <w:rsidRoot w:val="00172A27"/>
    <w:rsid w:val="00006B18"/>
    <w:rsid w:val="00010CA8"/>
    <w:rsid w:val="000129FA"/>
    <w:rsid w:val="00021C97"/>
    <w:rsid w:val="00026D8C"/>
    <w:rsid w:val="00027790"/>
    <w:rsid w:val="00042276"/>
    <w:rsid w:val="00045CC3"/>
    <w:rsid w:val="00052B72"/>
    <w:rsid w:val="0006061E"/>
    <w:rsid w:val="00061FA9"/>
    <w:rsid w:val="00066494"/>
    <w:rsid w:val="000769B5"/>
    <w:rsid w:val="00077CBC"/>
    <w:rsid w:val="000A7A21"/>
    <w:rsid w:val="000C1C69"/>
    <w:rsid w:val="000D1490"/>
    <w:rsid w:val="000E0865"/>
    <w:rsid w:val="000E71D5"/>
    <w:rsid w:val="000F0DBA"/>
    <w:rsid w:val="001140B1"/>
    <w:rsid w:val="00124CF9"/>
    <w:rsid w:val="00125A87"/>
    <w:rsid w:val="001273B0"/>
    <w:rsid w:val="001313B0"/>
    <w:rsid w:val="00131618"/>
    <w:rsid w:val="001352A0"/>
    <w:rsid w:val="001358F8"/>
    <w:rsid w:val="00141416"/>
    <w:rsid w:val="00146E6B"/>
    <w:rsid w:val="00150D82"/>
    <w:rsid w:val="00151200"/>
    <w:rsid w:val="00155E6D"/>
    <w:rsid w:val="00167BB5"/>
    <w:rsid w:val="00172A27"/>
    <w:rsid w:val="00176673"/>
    <w:rsid w:val="00187CDB"/>
    <w:rsid w:val="00191947"/>
    <w:rsid w:val="001A0F14"/>
    <w:rsid w:val="001B224E"/>
    <w:rsid w:val="001D3F56"/>
    <w:rsid w:val="001D4A24"/>
    <w:rsid w:val="001D5A98"/>
    <w:rsid w:val="001D7370"/>
    <w:rsid w:val="001F4C80"/>
    <w:rsid w:val="0020436F"/>
    <w:rsid w:val="002068E4"/>
    <w:rsid w:val="00206B25"/>
    <w:rsid w:val="00223B9C"/>
    <w:rsid w:val="00231234"/>
    <w:rsid w:val="002345E9"/>
    <w:rsid w:val="002435A4"/>
    <w:rsid w:val="00244374"/>
    <w:rsid w:val="0024587E"/>
    <w:rsid w:val="0024602B"/>
    <w:rsid w:val="002471DD"/>
    <w:rsid w:val="00252AEC"/>
    <w:rsid w:val="00256966"/>
    <w:rsid w:val="00261356"/>
    <w:rsid w:val="00272408"/>
    <w:rsid w:val="00282E60"/>
    <w:rsid w:val="002A1454"/>
    <w:rsid w:val="002A42DE"/>
    <w:rsid w:val="002A56E7"/>
    <w:rsid w:val="002A660A"/>
    <w:rsid w:val="002A7817"/>
    <w:rsid w:val="002B3EC8"/>
    <w:rsid w:val="002B590D"/>
    <w:rsid w:val="002C1BD0"/>
    <w:rsid w:val="002E011C"/>
    <w:rsid w:val="002E1161"/>
    <w:rsid w:val="002E3E8E"/>
    <w:rsid w:val="002E4C2F"/>
    <w:rsid w:val="002F1B42"/>
    <w:rsid w:val="002F33B7"/>
    <w:rsid w:val="002F4C3E"/>
    <w:rsid w:val="00301829"/>
    <w:rsid w:val="00316B25"/>
    <w:rsid w:val="00323D4A"/>
    <w:rsid w:val="00325A4B"/>
    <w:rsid w:val="00330F37"/>
    <w:rsid w:val="003350ED"/>
    <w:rsid w:val="00337A40"/>
    <w:rsid w:val="00342D0E"/>
    <w:rsid w:val="003446BE"/>
    <w:rsid w:val="0035001B"/>
    <w:rsid w:val="0036382B"/>
    <w:rsid w:val="0036399F"/>
    <w:rsid w:val="0036550C"/>
    <w:rsid w:val="00370DD9"/>
    <w:rsid w:val="00371318"/>
    <w:rsid w:val="00371960"/>
    <w:rsid w:val="0039276B"/>
    <w:rsid w:val="003A7357"/>
    <w:rsid w:val="003D15AE"/>
    <w:rsid w:val="003D5865"/>
    <w:rsid w:val="003E4261"/>
    <w:rsid w:val="003F1FC0"/>
    <w:rsid w:val="0041351C"/>
    <w:rsid w:val="0042491D"/>
    <w:rsid w:val="00425581"/>
    <w:rsid w:val="00427F44"/>
    <w:rsid w:val="00430A12"/>
    <w:rsid w:val="00436935"/>
    <w:rsid w:val="004452CF"/>
    <w:rsid w:val="004454B6"/>
    <w:rsid w:val="00451FFE"/>
    <w:rsid w:val="00452D23"/>
    <w:rsid w:val="00464F99"/>
    <w:rsid w:val="004804F8"/>
    <w:rsid w:val="00484986"/>
    <w:rsid w:val="00485D51"/>
    <w:rsid w:val="00490823"/>
    <w:rsid w:val="00496952"/>
    <w:rsid w:val="004A3B04"/>
    <w:rsid w:val="004A6249"/>
    <w:rsid w:val="004B401E"/>
    <w:rsid w:val="004B68FC"/>
    <w:rsid w:val="004B7A1A"/>
    <w:rsid w:val="004D4C3E"/>
    <w:rsid w:val="004E10E7"/>
    <w:rsid w:val="004F38D0"/>
    <w:rsid w:val="004F6235"/>
    <w:rsid w:val="004F7249"/>
    <w:rsid w:val="005033A9"/>
    <w:rsid w:val="0051013C"/>
    <w:rsid w:val="00513831"/>
    <w:rsid w:val="005171F8"/>
    <w:rsid w:val="00520783"/>
    <w:rsid w:val="0052167C"/>
    <w:rsid w:val="00523E8F"/>
    <w:rsid w:val="00525E78"/>
    <w:rsid w:val="00530EA7"/>
    <w:rsid w:val="005344AB"/>
    <w:rsid w:val="00535693"/>
    <w:rsid w:val="00537784"/>
    <w:rsid w:val="00537CF9"/>
    <w:rsid w:val="00540D02"/>
    <w:rsid w:val="005462BC"/>
    <w:rsid w:val="00546798"/>
    <w:rsid w:val="00546D74"/>
    <w:rsid w:val="0055011F"/>
    <w:rsid w:val="00556469"/>
    <w:rsid w:val="005676DC"/>
    <w:rsid w:val="00571B35"/>
    <w:rsid w:val="005827F8"/>
    <w:rsid w:val="0059071D"/>
    <w:rsid w:val="005A3753"/>
    <w:rsid w:val="005B1212"/>
    <w:rsid w:val="005B4054"/>
    <w:rsid w:val="005C0C18"/>
    <w:rsid w:val="005D1FDF"/>
    <w:rsid w:val="005E1592"/>
    <w:rsid w:val="005E1B98"/>
    <w:rsid w:val="00601806"/>
    <w:rsid w:val="00606E08"/>
    <w:rsid w:val="006145F4"/>
    <w:rsid w:val="00616D92"/>
    <w:rsid w:val="006206EA"/>
    <w:rsid w:val="00633249"/>
    <w:rsid w:val="00637FF3"/>
    <w:rsid w:val="006453D0"/>
    <w:rsid w:val="00645E30"/>
    <w:rsid w:val="006668F2"/>
    <w:rsid w:val="00666C5C"/>
    <w:rsid w:val="00667ED6"/>
    <w:rsid w:val="006758B7"/>
    <w:rsid w:val="006A3C8E"/>
    <w:rsid w:val="006A566D"/>
    <w:rsid w:val="006A5EFE"/>
    <w:rsid w:val="006B4021"/>
    <w:rsid w:val="006B5CE9"/>
    <w:rsid w:val="006C741F"/>
    <w:rsid w:val="006D03CC"/>
    <w:rsid w:val="006D0D90"/>
    <w:rsid w:val="006D4013"/>
    <w:rsid w:val="006F330A"/>
    <w:rsid w:val="006F40F2"/>
    <w:rsid w:val="00721AEC"/>
    <w:rsid w:val="007316C4"/>
    <w:rsid w:val="00732EE4"/>
    <w:rsid w:val="00742004"/>
    <w:rsid w:val="00742362"/>
    <w:rsid w:val="0074636B"/>
    <w:rsid w:val="007468D5"/>
    <w:rsid w:val="00764A6F"/>
    <w:rsid w:val="00780CD7"/>
    <w:rsid w:val="00795068"/>
    <w:rsid w:val="007A466A"/>
    <w:rsid w:val="007B7452"/>
    <w:rsid w:val="007C1A2E"/>
    <w:rsid w:val="007D36A6"/>
    <w:rsid w:val="007D5311"/>
    <w:rsid w:val="007D6A90"/>
    <w:rsid w:val="007E264C"/>
    <w:rsid w:val="007F4944"/>
    <w:rsid w:val="007F6BE5"/>
    <w:rsid w:val="00803E4B"/>
    <w:rsid w:val="00807AEB"/>
    <w:rsid w:val="00813604"/>
    <w:rsid w:val="008207A6"/>
    <w:rsid w:val="00824563"/>
    <w:rsid w:val="008263C0"/>
    <w:rsid w:val="008308D9"/>
    <w:rsid w:val="00845124"/>
    <w:rsid w:val="0084608A"/>
    <w:rsid w:val="00855A6F"/>
    <w:rsid w:val="00857EFD"/>
    <w:rsid w:val="00862FE3"/>
    <w:rsid w:val="00886579"/>
    <w:rsid w:val="008936C7"/>
    <w:rsid w:val="008A5D41"/>
    <w:rsid w:val="008B0D4D"/>
    <w:rsid w:val="008B2A3C"/>
    <w:rsid w:val="008B3CDB"/>
    <w:rsid w:val="008C20C8"/>
    <w:rsid w:val="008E210E"/>
    <w:rsid w:val="008E430D"/>
    <w:rsid w:val="008E5827"/>
    <w:rsid w:val="008F0FAA"/>
    <w:rsid w:val="00915AB6"/>
    <w:rsid w:val="00917651"/>
    <w:rsid w:val="0095761E"/>
    <w:rsid w:val="00961A9B"/>
    <w:rsid w:val="0096314C"/>
    <w:rsid w:val="00964957"/>
    <w:rsid w:val="00996674"/>
    <w:rsid w:val="009A1695"/>
    <w:rsid w:val="009A5D36"/>
    <w:rsid w:val="009A5F72"/>
    <w:rsid w:val="009A72DB"/>
    <w:rsid w:val="009B45E3"/>
    <w:rsid w:val="009E1523"/>
    <w:rsid w:val="009E40CA"/>
    <w:rsid w:val="009E4A81"/>
    <w:rsid w:val="009E65C0"/>
    <w:rsid w:val="009E7D2C"/>
    <w:rsid w:val="009F60D9"/>
    <w:rsid w:val="00A00BA0"/>
    <w:rsid w:val="00A037CD"/>
    <w:rsid w:val="00A10D69"/>
    <w:rsid w:val="00A216F9"/>
    <w:rsid w:val="00A27D4D"/>
    <w:rsid w:val="00A41E92"/>
    <w:rsid w:val="00A463D3"/>
    <w:rsid w:val="00A53559"/>
    <w:rsid w:val="00A74C29"/>
    <w:rsid w:val="00A81202"/>
    <w:rsid w:val="00A900DF"/>
    <w:rsid w:val="00A93372"/>
    <w:rsid w:val="00AA6DC4"/>
    <w:rsid w:val="00AB1221"/>
    <w:rsid w:val="00AB35A8"/>
    <w:rsid w:val="00AB3EEA"/>
    <w:rsid w:val="00AC36D1"/>
    <w:rsid w:val="00AD1D38"/>
    <w:rsid w:val="00AD7CA0"/>
    <w:rsid w:val="00AE3AF0"/>
    <w:rsid w:val="00AF0AE5"/>
    <w:rsid w:val="00AF6B41"/>
    <w:rsid w:val="00B04D82"/>
    <w:rsid w:val="00B36662"/>
    <w:rsid w:val="00B4117D"/>
    <w:rsid w:val="00B44550"/>
    <w:rsid w:val="00B50432"/>
    <w:rsid w:val="00B8123C"/>
    <w:rsid w:val="00B85982"/>
    <w:rsid w:val="00B9061F"/>
    <w:rsid w:val="00B946D4"/>
    <w:rsid w:val="00BA592E"/>
    <w:rsid w:val="00BB61F7"/>
    <w:rsid w:val="00BC29F4"/>
    <w:rsid w:val="00BD261E"/>
    <w:rsid w:val="00BD4271"/>
    <w:rsid w:val="00BD7DED"/>
    <w:rsid w:val="00BD7E3C"/>
    <w:rsid w:val="00BE0372"/>
    <w:rsid w:val="00BE262E"/>
    <w:rsid w:val="00BE5AB5"/>
    <w:rsid w:val="00BF11D3"/>
    <w:rsid w:val="00BF1BCE"/>
    <w:rsid w:val="00C0401A"/>
    <w:rsid w:val="00C10589"/>
    <w:rsid w:val="00C1068F"/>
    <w:rsid w:val="00C12F2F"/>
    <w:rsid w:val="00C1554A"/>
    <w:rsid w:val="00C173ED"/>
    <w:rsid w:val="00C27061"/>
    <w:rsid w:val="00C31F24"/>
    <w:rsid w:val="00C43771"/>
    <w:rsid w:val="00C4463A"/>
    <w:rsid w:val="00C46487"/>
    <w:rsid w:val="00C512E0"/>
    <w:rsid w:val="00C51C65"/>
    <w:rsid w:val="00C63D0F"/>
    <w:rsid w:val="00C7132A"/>
    <w:rsid w:val="00C71565"/>
    <w:rsid w:val="00C7157F"/>
    <w:rsid w:val="00C8209C"/>
    <w:rsid w:val="00C91614"/>
    <w:rsid w:val="00C969AE"/>
    <w:rsid w:val="00CC6B4B"/>
    <w:rsid w:val="00CD1EE2"/>
    <w:rsid w:val="00CD32B4"/>
    <w:rsid w:val="00CE07C7"/>
    <w:rsid w:val="00CE338D"/>
    <w:rsid w:val="00CE392A"/>
    <w:rsid w:val="00CE6474"/>
    <w:rsid w:val="00CF1ABA"/>
    <w:rsid w:val="00CF4144"/>
    <w:rsid w:val="00D135CE"/>
    <w:rsid w:val="00D16E3D"/>
    <w:rsid w:val="00D2191D"/>
    <w:rsid w:val="00D24413"/>
    <w:rsid w:val="00D372D8"/>
    <w:rsid w:val="00D4391A"/>
    <w:rsid w:val="00D44C09"/>
    <w:rsid w:val="00D6378E"/>
    <w:rsid w:val="00D6490F"/>
    <w:rsid w:val="00D76185"/>
    <w:rsid w:val="00D832F2"/>
    <w:rsid w:val="00DA46BD"/>
    <w:rsid w:val="00DB28D4"/>
    <w:rsid w:val="00DB37A2"/>
    <w:rsid w:val="00DC5EFD"/>
    <w:rsid w:val="00DE0103"/>
    <w:rsid w:val="00DE0835"/>
    <w:rsid w:val="00DE2E43"/>
    <w:rsid w:val="00DE4135"/>
    <w:rsid w:val="00DE4259"/>
    <w:rsid w:val="00DE6026"/>
    <w:rsid w:val="00DF448D"/>
    <w:rsid w:val="00DF44F3"/>
    <w:rsid w:val="00E1179E"/>
    <w:rsid w:val="00E162D3"/>
    <w:rsid w:val="00E242D2"/>
    <w:rsid w:val="00E24F51"/>
    <w:rsid w:val="00E33ED8"/>
    <w:rsid w:val="00E35B94"/>
    <w:rsid w:val="00E3683C"/>
    <w:rsid w:val="00E46590"/>
    <w:rsid w:val="00E467A4"/>
    <w:rsid w:val="00E506B2"/>
    <w:rsid w:val="00E70EF5"/>
    <w:rsid w:val="00E740AD"/>
    <w:rsid w:val="00E96BDF"/>
    <w:rsid w:val="00EA135C"/>
    <w:rsid w:val="00EA661B"/>
    <w:rsid w:val="00EB4034"/>
    <w:rsid w:val="00EB6EB0"/>
    <w:rsid w:val="00ED202D"/>
    <w:rsid w:val="00ED410A"/>
    <w:rsid w:val="00ED6417"/>
    <w:rsid w:val="00EE463C"/>
    <w:rsid w:val="00F01EEE"/>
    <w:rsid w:val="00F16435"/>
    <w:rsid w:val="00F424CA"/>
    <w:rsid w:val="00F446C8"/>
    <w:rsid w:val="00F66FBA"/>
    <w:rsid w:val="00F73BD6"/>
    <w:rsid w:val="00F80426"/>
    <w:rsid w:val="00F86357"/>
    <w:rsid w:val="00F86E10"/>
    <w:rsid w:val="00FA1D61"/>
    <w:rsid w:val="00FA4A18"/>
    <w:rsid w:val="00FB0704"/>
    <w:rsid w:val="00FB3FA5"/>
    <w:rsid w:val="00FB5ED2"/>
    <w:rsid w:val="00FB6B13"/>
    <w:rsid w:val="00FC3AC1"/>
    <w:rsid w:val="00FC6F8D"/>
    <w:rsid w:val="00FC73DF"/>
    <w:rsid w:val="00FD70BE"/>
    <w:rsid w:val="00FE0DD7"/>
    <w:rsid w:val="00FE3C5E"/>
    <w:rsid w:val="00FE6D7C"/>
    <w:rsid w:val="014B38AD"/>
    <w:rsid w:val="031D37A8"/>
    <w:rsid w:val="05793607"/>
    <w:rsid w:val="06443FD4"/>
    <w:rsid w:val="06C63181"/>
    <w:rsid w:val="088F6118"/>
    <w:rsid w:val="0986659E"/>
    <w:rsid w:val="0AB4001B"/>
    <w:rsid w:val="0B403483"/>
    <w:rsid w:val="0B95098E"/>
    <w:rsid w:val="0C747083"/>
    <w:rsid w:val="113228FE"/>
    <w:rsid w:val="117B32BD"/>
    <w:rsid w:val="13205B6C"/>
    <w:rsid w:val="14C64FA3"/>
    <w:rsid w:val="15411A4F"/>
    <w:rsid w:val="175F4C67"/>
    <w:rsid w:val="19162CB4"/>
    <w:rsid w:val="1C1945A6"/>
    <w:rsid w:val="1E9F5249"/>
    <w:rsid w:val="1FEB532F"/>
    <w:rsid w:val="222A579A"/>
    <w:rsid w:val="27C2034A"/>
    <w:rsid w:val="286C4F60"/>
    <w:rsid w:val="29167977"/>
    <w:rsid w:val="2933137D"/>
    <w:rsid w:val="299D2FAB"/>
    <w:rsid w:val="2AE930F5"/>
    <w:rsid w:val="2D2F6832"/>
    <w:rsid w:val="306D1203"/>
    <w:rsid w:val="30BE4485"/>
    <w:rsid w:val="32055AA1"/>
    <w:rsid w:val="343F0843"/>
    <w:rsid w:val="363E3B8C"/>
    <w:rsid w:val="36CE0F9D"/>
    <w:rsid w:val="38910B5D"/>
    <w:rsid w:val="3A8D3E1B"/>
    <w:rsid w:val="3CAB27D3"/>
    <w:rsid w:val="3D504924"/>
    <w:rsid w:val="3FA00970"/>
    <w:rsid w:val="41F9564C"/>
    <w:rsid w:val="44701E80"/>
    <w:rsid w:val="45AB21DA"/>
    <w:rsid w:val="4763732D"/>
    <w:rsid w:val="48AC4B2A"/>
    <w:rsid w:val="49023556"/>
    <w:rsid w:val="49224D48"/>
    <w:rsid w:val="49464F44"/>
    <w:rsid w:val="494707C7"/>
    <w:rsid w:val="4A8423CD"/>
    <w:rsid w:val="4DE51ADA"/>
    <w:rsid w:val="4DEA3A2A"/>
    <w:rsid w:val="4DEE01EB"/>
    <w:rsid w:val="4ED107DE"/>
    <w:rsid w:val="4F7E1BFB"/>
    <w:rsid w:val="505605DA"/>
    <w:rsid w:val="50C54111"/>
    <w:rsid w:val="514A216C"/>
    <w:rsid w:val="53E57531"/>
    <w:rsid w:val="548B3542"/>
    <w:rsid w:val="5552550A"/>
    <w:rsid w:val="58502974"/>
    <w:rsid w:val="59114FB0"/>
    <w:rsid w:val="5B88343B"/>
    <w:rsid w:val="5B93724D"/>
    <w:rsid w:val="5DE47A17"/>
    <w:rsid w:val="5E2A018B"/>
    <w:rsid w:val="5F62370B"/>
    <w:rsid w:val="5F9B4B6A"/>
    <w:rsid w:val="61F749C9"/>
    <w:rsid w:val="64066817"/>
    <w:rsid w:val="6A4D4AF3"/>
    <w:rsid w:val="6B8C3281"/>
    <w:rsid w:val="6DCB5D2E"/>
    <w:rsid w:val="6F21085E"/>
    <w:rsid w:val="70515157"/>
    <w:rsid w:val="74152900"/>
    <w:rsid w:val="744B0850"/>
    <w:rsid w:val="7F1A2313"/>
    <w:rsid w:val="7F1B08F5"/>
    <w:rsid w:val="7FBE4E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iPriority="99" w:name="footnote text"/>
    <w:lsdException w:qFormat="1" w:unhideWhenUsed="0" w:uiPriority="99" w:semiHidden="0" w:name="annotation text"/>
    <w:lsdException w:qFormat="1" w:uiPriority="0" w:semiHidden="0" w:name="header"/>
    <w:lsdException w:qFormat="1"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qFormat="1" w:unhideWhenUsed="0" w:uiPriority="0" w:semiHidden="0"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6"/>
    <w:qFormat/>
    <w:uiPriority w:val="0"/>
    <w:pPr>
      <w:keepNext/>
      <w:spacing w:line="240" w:lineRule="atLeast"/>
      <w:jc w:val="right"/>
      <w:outlineLvl w:val="0"/>
    </w:pPr>
    <w:rPr>
      <w:b/>
      <w:bCs/>
      <w:sz w:val="28"/>
    </w:rPr>
  </w:style>
  <w:style w:type="paragraph" w:styleId="3">
    <w:name w:val="heading 2"/>
    <w:basedOn w:val="1"/>
    <w:next w:val="1"/>
    <w:link w:val="47"/>
    <w:qFormat/>
    <w:uiPriority w:val="0"/>
    <w:pPr>
      <w:keepNext/>
      <w:keepLines/>
      <w:topLinePunct/>
      <w:spacing w:before="260" w:after="260" w:line="415" w:lineRule="auto"/>
      <w:outlineLvl w:val="1"/>
    </w:pPr>
    <w:rPr>
      <w:rFonts w:eastAsia="黑体"/>
      <w:szCs w:val="20"/>
    </w:rPr>
  </w:style>
  <w:style w:type="paragraph" w:styleId="4">
    <w:name w:val="heading 3"/>
    <w:basedOn w:val="1"/>
    <w:next w:val="1"/>
    <w:link w:val="48"/>
    <w:qFormat/>
    <w:uiPriority w:val="9"/>
    <w:pPr>
      <w:keepNext/>
      <w:keepLines/>
      <w:spacing w:before="260" w:after="260" w:line="416" w:lineRule="auto"/>
      <w:outlineLvl w:val="2"/>
    </w:pPr>
    <w:rPr>
      <w:rFonts w:ascii="Calibri" w:hAnsi="Calibri"/>
      <w:b/>
      <w:bCs/>
      <w:sz w:val="32"/>
      <w:szCs w:val="32"/>
    </w:rPr>
  </w:style>
  <w:style w:type="paragraph" w:styleId="5">
    <w:name w:val="heading 4"/>
    <w:basedOn w:val="1"/>
    <w:next w:val="1"/>
    <w:link w:val="49"/>
    <w:qFormat/>
    <w:uiPriority w:val="0"/>
    <w:pPr>
      <w:keepNext/>
      <w:keepLines/>
      <w:spacing w:before="280" w:after="290" w:line="372" w:lineRule="auto"/>
      <w:outlineLvl w:val="3"/>
    </w:pPr>
    <w:rPr>
      <w:rFonts w:ascii="Arial" w:hAnsi="Arial" w:eastAsia="黑体"/>
      <w:b/>
      <w:sz w:val="28"/>
      <w:szCs w:val="20"/>
    </w:rPr>
  </w:style>
  <w:style w:type="paragraph" w:styleId="6">
    <w:name w:val="heading 5"/>
    <w:basedOn w:val="1"/>
    <w:next w:val="1"/>
    <w:link w:val="50"/>
    <w:qFormat/>
    <w:uiPriority w:val="0"/>
    <w:pPr>
      <w:keepNext/>
      <w:keepLines/>
      <w:spacing w:line="360" w:lineRule="auto"/>
      <w:outlineLvl w:val="4"/>
    </w:pPr>
    <w:rPr>
      <w:rFonts w:eastAsia="黑体"/>
      <w:szCs w:val="20"/>
    </w:rPr>
  </w:style>
  <w:style w:type="paragraph" w:styleId="7">
    <w:name w:val="heading 6"/>
    <w:basedOn w:val="1"/>
    <w:next w:val="1"/>
    <w:link w:val="51"/>
    <w:qFormat/>
    <w:uiPriority w:val="0"/>
    <w:pPr>
      <w:keepNext/>
      <w:keepLines/>
      <w:spacing w:before="240" w:after="64" w:line="317" w:lineRule="auto"/>
      <w:outlineLvl w:val="5"/>
    </w:pPr>
    <w:rPr>
      <w:rFonts w:ascii="Arial" w:hAnsi="Arial" w:eastAsia="黑体"/>
      <w:b/>
      <w:sz w:val="24"/>
      <w:szCs w:val="20"/>
    </w:rPr>
  </w:style>
  <w:style w:type="paragraph" w:styleId="8">
    <w:name w:val="heading 7"/>
    <w:basedOn w:val="1"/>
    <w:next w:val="1"/>
    <w:link w:val="52"/>
    <w:qFormat/>
    <w:uiPriority w:val="0"/>
    <w:pPr>
      <w:keepNext/>
      <w:keepLines/>
      <w:spacing w:before="240" w:after="64" w:line="317" w:lineRule="auto"/>
      <w:outlineLvl w:val="6"/>
    </w:pPr>
    <w:rPr>
      <w:b/>
      <w:sz w:val="24"/>
      <w:szCs w:val="20"/>
    </w:rPr>
  </w:style>
  <w:style w:type="paragraph" w:styleId="9">
    <w:name w:val="heading 8"/>
    <w:basedOn w:val="1"/>
    <w:next w:val="1"/>
    <w:link w:val="53"/>
    <w:qFormat/>
    <w:uiPriority w:val="0"/>
    <w:pPr>
      <w:keepNext/>
      <w:keepLines/>
      <w:spacing w:before="240" w:after="64" w:line="317" w:lineRule="auto"/>
      <w:outlineLvl w:val="7"/>
    </w:pPr>
    <w:rPr>
      <w:rFonts w:ascii="Arial" w:hAnsi="Arial" w:eastAsia="黑体"/>
      <w:sz w:val="24"/>
      <w:szCs w:val="20"/>
    </w:rPr>
  </w:style>
  <w:style w:type="paragraph" w:styleId="10">
    <w:name w:val="heading 9"/>
    <w:basedOn w:val="1"/>
    <w:next w:val="1"/>
    <w:link w:val="54"/>
    <w:qFormat/>
    <w:uiPriority w:val="0"/>
    <w:pPr>
      <w:keepNext/>
      <w:keepLines/>
      <w:spacing w:before="240" w:after="64" w:line="317" w:lineRule="auto"/>
      <w:outlineLvl w:val="8"/>
    </w:pPr>
    <w:rPr>
      <w:rFonts w:ascii="Arial" w:hAnsi="Arial" w:eastAsia="黑体"/>
      <w:szCs w:val="20"/>
    </w:rPr>
  </w:style>
  <w:style w:type="character" w:default="1" w:styleId="39">
    <w:name w:val="Default Paragraph Font"/>
    <w:semiHidden/>
    <w:unhideWhenUsed/>
    <w:qFormat/>
    <w:uiPriority w:val="1"/>
  </w:style>
  <w:style w:type="table" w:default="1" w:styleId="38">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qFormat/>
    <w:uiPriority w:val="0"/>
    <w:pPr>
      <w:spacing w:line="360" w:lineRule="auto"/>
      <w:ind w:left="1260" w:firstLine="200" w:firstLineChars="200"/>
      <w:jc w:val="left"/>
    </w:pPr>
    <w:rPr>
      <w:rFonts w:ascii="Calibri" w:hAnsi="Calibri"/>
      <w:sz w:val="18"/>
      <w:szCs w:val="18"/>
    </w:rPr>
  </w:style>
  <w:style w:type="paragraph" w:styleId="12">
    <w:name w:val="Normal Indent"/>
    <w:basedOn w:val="1"/>
    <w:qFormat/>
    <w:uiPriority w:val="0"/>
    <w:pPr>
      <w:widowControl/>
      <w:ind w:firstLine="420" w:firstLineChars="200"/>
      <w:jc w:val="left"/>
    </w:pPr>
    <w:rPr>
      <w:kern w:val="0"/>
      <w:sz w:val="20"/>
      <w:szCs w:val="20"/>
    </w:rPr>
  </w:style>
  <w:style w:type="paragraph" w:styleId="13">
    <w:name w:val="caption"/>
    <w:basedOn w:val="1"/>
    <w:next w:val="1"/>
    <w:link w:val="77"/>
    <w:qFormat/>
    <w:uiPriority w:val="0"/>
    <w:pPr>
      <w:spacing w:line="360" w:lineRule="auto"/>
      <w:ind w:firstLine="200" w:firstLineChars="200"/>
    </w:pPr>
    <w:rPr>
      <w:rFonts w:ascii="Cambria" w:hAnsi="Cambria" w:eastAsia="黑体"/>
      <w:sz w:val="20"/>
      <w:szCs w:val="20"/>
    </w:rPr>
  </w:style>
  <w:style w:type="paragraph" w:styleId="14">
    <w:name w:val="List Bullet"/>
    <w:basedOn w:val="1"/>
    <w:qFormat/>
    <w:uiPriority w:val="0"/>
    <w:pPr>
      <w:tabs>
        <w:tab w:val="left" w:pos="360"/>
      </w:tabs>
      <w:spacing w:line="360" w:lineRule="auto"/>
      <w:ind w:left="360" w:hanging="360"/>
      <w:contextualSpacing/>
    </w:pPr>
    <w:rPr>
      <w:rFonts w:ascii="宋体" w:hAnsi="宋体"/>
      <w:szCs w:val="22"/>
    </w:rPr>
  </w:style>
  <w:style w:type="paragraph" w:styleId="15">
    <w:name w:val="Document Map"/>
    <w:basedOn w:val="1"/>
    <w:link w:val="72"/>
    <w:qFormat/>
    <w:uiPriority w:val="0"/>
    <w:rPr>
      <w:rFonts w:ascii="宋体"/>
      <w:sz w:val="18"/>
      <w:szCs w:val="18"/>
    </w:rPr>
  </w:style>
  <w:style w:type="paragraph" w:styleId="16">
    <w:name w:val="annotation text"/>
    <w:basedOn w:val="1"/>
    <w:link w:val="68"/>
    <w:qFormat/>
    <w:uiPriority w:val="99"/>
    <w:pPr>
      <w:jc w:val="left"/>
    </w:pPr>
  </w:style>
  <w:style w:type="paragraph" w:styleId="17">
    <w:name w:val="Body Text"/>
    <w:basedOn w:val="1"/>
    <w:link w:val="75"/>
    <w:unhideWhenUsed/>
    <w:qFormat/>
    <w:uiPriority w:val="99"/>
    <w:pPr>
      <w:spacing w:after="120"/>
    </w:pPr>
  </w:style>
  <w:style w:type="paragraph" w:styleId="18">
    <w:name w:val="Body Text Indent"/>
    <w:basedOn w:val="1"/>
    <w:link w:val="78"/>
    <w:qFormat/>
    <w:uiPriority w:val="0"/>
    <w:pPr>
      <w:snapToGrid w:val="0"/>
      <w:spacing w:line="360" w:lineRule="auto"/>
      <w:ind w:firstLine="420" w:firstLineChars="200"/>
    </w:pPr>
    <w:rPr>
      <w:color w:val="000000"/>
      <w:kern w:val="0"/>
      <w:sz w:val="20"/>
    </w:rPr>
  </w:style>
  <w:style w:type="paragraph" w:styleId="19">
    <w:name w:val="toc 5"/>
    <w:basedOn w:val="1"/>
    <w:next w:val="1"/>
    <w:qFormat/>
    <w:uiPriority w:val="0"/>
    <w:pPr>
      <w:spacing w:line="360" w:lineRule="auto"/>
      <w:ind w:left="840" w:firstLine="200" w:firstLineChars="200"/>
      <w:jc w:val="left"/>
    </w:pPr>
    <w:rPr>
      <w:rFonts w:ascii="Calibri" w:hAnsi="Calibri"/>
      <w:sz w:val="18"/>
      <w:szCs w:val="18"/>
    </w:rPr>
  </w:style>
  <w:style w:type="paragraph" w:styleId="20">
    <w:name w:val="toc 3"/>
    <w:basedOn w:val="1"/>
    <w:next w:val="1"/>
    <w:qFormat/>
    <w:uiPriority w:val="0"/>
    <w:pPr>
      <w:spacing w:line="360" w:lineRule="auto"/>
      <w:ind w:left="420" w:firstLine="200" w:firstLineChars="200"/>
      <w:jc w:val="left"/>
    </w:pPr>
    <w:rPr>
      <w:rFonts w:ascii="Calibri" w:hAnsi="Calibri"/>
      <w:i/>
      <w:iCs/>
      <w:sz w:val="20"/>
      <w:szCs w:val="20"/>
    </w:rPr>
  </w:style>
  <w:style w:type="paragraph" w:styleId="21">
    <w:name w:val="Plain Text"/>
    <w:basedOn w:val="1"/>
    <w:link w:val="79"/>
    <w:qFormat/>
    <w:uiPriority w:val="0"/>
    <w:rPr>
      <w:rFonts w:ascii="宋体" w:hAnsi="Courier New"/>
      <w:szCs w:val="20"/>
    </w:rPr>
  </w:style>
  <w:style w:type="paragraph" w:styleId="22">
    <w:name w:val="toc 8"/>
    <w:basedOn w:val="1"/>
    <w:next w:val="1"/>
    <w:qFormat/>
    <w:uiPriority w:val="0"/>
    <w:pPr>
      <w:spacing w:line="360" w:lineRule="auto"/>
      <w:ind w:left="1470" w:firstLine="200" w:firstLineChars="200"/>
      <w:jc w:val="left"/>
    </w:pPr>
    <w:rPr>
      <w:rFonts w:ascii="Calibri" w:hAnsi="Calibri"/>
      <w:sz w:val="18"/>
      <w:szCs w:val="18"/>
    </w:rPr>
  </w:style>
  <w:style w:type="paragraph" w:styleId="23">
    <w:name w:val="Date"/>
    <w:basedOn w:val="1"/>
    <w:next w:val="1"/>
    <w:link w:val="80"/>
    <w:qFormat/>
    <w:uiPriority w:val="0"/>
    <w:pPr>
      <w:ind w:left="100" w:leftChars="2500"/>
    </w:pPr>
    <w:rPr>
      <w:kern w:val="0"/>
      <w:sz w:val="28"/>
    </w:rPr>
  </w:style>
  <w:style w:type="paragraph" w:styleId="24">
    <w:name w:val="Body Text Indent 2"/>
    <w:basedOn w:val="1"/>
    <w:link w:val="81"/>
    <w:qFormat/>
    <w:uiPriority w:val="0"/>
    <w:pPr>
      <w:ind w:firstLine="420"/>
    </w:pPr>
    <w:rPr>
      <w:rFonts w:ascii="宋体"/>
      <w:kern w:val="0"/>
      <w:sz w:val="20"/>
    </w:rPr>
  </w:style>
  <w:style w:type="paragraph" w:styleId="25">
    <w:name w:val="Balloon Text"/>
    <w:basedOn w:val="1"/>
    <w:link w:val="45"/>
    <w:unhideWhenUsed/>
    <w:qFormat/>
    <w:uiPriority w:val="0"/>
    <w:rPr>
      <w:sz w:val="18"/>
      <w:szCs w:val="18"/>
    </w:rPr>
  </w:style>
  <w:style w:type="paragraph" w:styleId="26">
    <w:name w:val="footer"/>
    <w:basedOn w:val="1"/>
    <w:link w:val="58"/>
    <w:unhideWhenUsed/>
    <w:qFormat/>
    <w:uiPriority w:val="0"/>
    <w:pPr>
      <w:tabs>
        <w:tab w:val="center" w:pos="4153"/>
        <w:tab w:val="right" w:pos="8306"/>
      </w:tabs>
      <w:snapToGrid w:val="0"/>
      <w:jc w:val="left"/>
    </w:pPr>
    <w:rPr>
      <w:sz w:val="18"/>
      <w:szCs w:val="18"/>
    </w:rPr>
  </w:style>
  <w:style w:type="paragraph" w:styleId="27">
    <w:name w:val="header"/>
    <w:basedOn w:val="1"/>
    <w:link w:val="57"/>
    <w:unhideWhenUsed/>
    <w:qFormat/>
    <w:uiPriority w:val="0"/>
    <w:pPr>
      <w:pBdr>
        <w:bottom w:val="single" w:color="auto" w:sz="6" w:space="1"/>
      </w:pBdr>
      <w:tabs>
        <w:tab w:val="center" w:pos="4153"/>
        <w:tab w:val="right" w:pos="8306"/>
      </w:tabs>
      <w:snapToGrid w:val="0"/>
      <w:jc w:val="center"/>
    </w:pPr>
    <w:rPr>
      <w:sz w:val="18"/>
      <w:szCs w:val="18"/>
    </w:rPr>
  </w:style>
  <w:style w:type="paragraph" w:styleId="28">
    <w:name w:val="toc 1"/>
    <w:basedOn w:val="1"/>
    <w:next w:val="1"/>
    <w:qFormat/>
    <w:uiPriority w:val="39"/>
    <w:pPr>
      <w:spacing w:before="120" w:after="120" w:line="360" w:lineRule="auto"/>
      <w:ind w:firstLine="200" w:firstLineChars="200"/>
      <w:jc w:val="left"/>
    </w:pPr>
    <w:rPr>
      <w:rFonts w:ascii="Calibri" w:hAnsi="Calibri"/>
      <w:b/>
      <w:bCs/>
      <w:caps/>
      <w:sz w:val="20"/>
      <w:szCs w:val="20"/>
    </w:rPr>
  </w:style>
  <w:style w:type="paragraph" w:styleId="29">
    <w:name w:val="toc 4"/>
    <w:basedOn w:val="1"/>
    <w:next w:val="1"/>
    <w:qFormat/>
    <w:uiPriority w:val="0"/>
    <w:pPr>
      <w:spacing w:line="360" w:lineRule="auto"/>
      <w:ind w:left="630" w:firstLine="200" w:firstLineChars="200"/>
      <w:jc w:val="left"/>
    </w:pPr>
    <w:rPr>
      <w:rFonts w:ascii="Calibri" w:hAnsi="Calibri"/>
      <w:sz w:val="18"/>
      <w:szCs w:val="18"/>
    </w:rPr>
  </w:style>
  <w:style w:type="paragraph" w:styleId="30">
    <w:name w:val="toc 6"/>
    <w:basedOn w:val="1"/>
    <w:next w:val="1"/>
    <w:qFormat/>
    <w:uiPriority w:val="0"/>
    <w:pPr>
      <w:spacing w:line="360" w:lineRule="auto"/>
      <w:ind w:left="1050" w:firstLine="200" w:firstLineChars="200"/>
      <w:jc w:val="left"/>
    </w:pPr>
    <w:rPr>
      <w:rFonts w:ascii="Calibri" w:hAnsi="Calibri"/>
      <w:sz w:val="18"/>
      <w:szCs w:val="18"/>
    </w:rPr>
  </w:style>
  <w:style w:type="paragraph" w:styleId="31">
    <w:name w:val="Body Text Indent 3"/>
    <w:basedOn w:val="1"/>
    <w:link w:val="82"/>
    <w:qFormat/>
    <w:uiPriority w:val="0"/>
    <w:pPr>
      <w:snapToGrid w:val="0"/>
      <w:spacing w:line="360" w:lineRule="auto"/>
      <w:ind w:firstLine="420" w:firstLineChars="200"/>
    </w:pPr>
    <w:rPr>
      <w:color w:val="0000FF"/>
      <w:kern w:val="0"/>
      <w:sz w:val="20"/>
      <w:szCs w:val="21"/>
    </w:rPr>
  </w:style>
  <w:style w:type="paragraph" w:styleId="32">
    <w:name w:val="toc 2"/>
    <w:basedOn w:val="1"/>
    <w:next w:val="1"/>
    <w:qFormat/>
    <w:uiPriority w:val="39"/>
    <w:pPr>
      <w:spacing w:line="360" w:lineRule="auto"/>
      <w:ind w:left="210" w:firstLine="200" w:firstLineChars="200"/>
      <w:jc w:val="left"/>
    </w:pPr>
    <w:rPr>
      <w:rFonts w:ascii="Calibri" w:hAnsi="Calibri"/>
      <w:smallCaps/>
      <w:sz w:val="20"/>
      <w:szCs w:val="20"/>
    </w:rPr>
  </w:style>
  <w:style w:type="paragraph" w:styleId="33">
    <w:name w:val="toc 9"/>
    <w:basedOn w:val="1"/>
    <w:next w:val="1"/>
    <w:qFormat/>
    <w:uiPriority w:val="0"/>
    <w:pPr>
      <w:spacing w:line="360" w:lineRule="auto"/>
      <w:ind w:left="1680" w:firstLine="200" w:firstLineChars="200"/>
      <w:jc w:val="left"/>
    </w:pPr>
    <w:rPr>
      <w:rFonts w:ascii="Calibri" w:hAnsi="Calibri"/>
      <w:sz w:val="18"/>
      <w:szCs w:val="18"/>
    </w:rPr>
  </w:style>
  <w:style w:type="paragraph" w:styleId="34">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35">
    <w:name w:val="Title"/>
    <w:basedOn w:val="1"/>
    <w:next w:val="1"/>
    <w:link w:val="85"/>
    <w:qFormat/>
    <w:uiPriority w:val="0"/>
    <w:pPr>
      <w:spacing w:line="360" w:lineRule="auto"/>
      <w:jc w:val="center"/>
    </w:pPr>
    <w:rPr>
      <w:rFonts w:ascii="宋体" w:hAnsi="宋体"/>
      <w:szCs w:val="20"/>
    </w:rPr>
  </w:style>
  <w:style w:type="paragraph" w:styleId="36">
    <w:name w:val="annotation subject"/>
    <w:basedOn w:val="16"/>
    <w:next w:val="16"/>
    <w:link w:val="69"/>
    <w:qFormat/>
    <w:uiPriority w:val="0"/>
    <w:rPr>
      <w:b/>
      <w:bCs/>
    </w:rPr>
  </w:style>
  <w:style w:type="paragraph" w:styleId="37">
    <w:name w:val="Body Text First Indent"/>
    <w:basedOn w:val="17"/>
    <w:link w:val="76"/>
    <w:qFormat/>
    <w:uiPriority w:val="0"/>
    <w:pPr>
      <w:ind w:firstLine="420" w:firstLineChars="100"/>
    </w:pPr>
    <w:rPr>
      <w:rFonts w:hint="eastAsia"/>
    </w:rPr>
  </w:style>
  <w:style w:type="character" w:styleId="40">
    <w:name w:val="Strong"/>
    <w:qFormat/>
    <w:uiPriority w:val="22"/>
    <w:rPr>
      <w:b/>
      <w:bCs/>
    </w:rPr>
  </w:style>
  <w:style w:type="character" w:styleId="41">
    <w:name w:val="page number"/>
    <w:qFormat/>
    <w:uiPriority w:val="0"/>
    <w:rPr>
      <w:rFonts w:hint="default" w:ascii="Times New Roman"/>
    </w:rPr>
  </w:style>
  <w:style w:type="character" w:styleId="42">
    <w:name w:val="FollowedHyperlink"/>
    <w:qFormat/>
    <w:uiPriority w:val="0"/>
    <w:rPr>
      <w:color w:val="954F72"/>
      <w:u w:val="single"/>
    </w:rPr>
  </w:style>
  <w:style w:type="character" w:styleId="43">
    <w:name w:val="Hyperlink"/>
    <w:qFormat/>
    <w:uiPriority w:val="99"/>
    <w:rPr>
      <w:color w:val="0000FF"/>
      <w:u w:val="single"/>
    </w:rPr>
  </w:style>
  <w:style w:type="character" w:styleId="44">
    <w:name w:val="annotation reference"/>
    <w:qFormat/>
    <w:uiPriority w:val="0"/>
    <w:rPr>
      <w:sz w:val="21"/>
      <w:szCs w:val="21"/>
    </w:rPr>
  </w:style>
  <w:style w:type="character" w:customStyle="1" w:styleId="45">
    <w:name w:val="批注框文本 字符"/>
    <w:basedOn w:val="39"/>
    <w:link w:val="25"/>
    <w:qFormat/>
    <w:uiPriority w:val="99"/>
    <w:rPr>
      <w:sz w:val="18"/>
      <w:szCs w:val="18"/>
    </w:rPr>
  </w:style>
  <w:style w:type="character" w:customStyle="1" w:styleId="46">
    <w:name w:val="标题 1 字符"/>
    <w:basedOn w:val="39"/>
    <w:link w:val="2"/>
    <w:qFormat/>
    <w:uiPriority w:val="0"/>
    <w:rPr>
      <w:rFonts w:ascii="Times New Roman" w:hAnsi="Times New Roman" w:eastAsia="宋体" w:cs="Times New Roman"/>
      <w:b/>
      <w:bCs/>
      <w:sz w:val="28"/>
      <w:szCs w:val="24"/>
    </w:rPr>
  </w:style>
  <w:style w:type="character" w:customStyle="1" w:styleId="47">
    <w:name w:val="标题 2 字符"/>
    <w:basedOn w:val="39"/>
    <w:link w:val="3"/>
    <w:qFormat/>
    <w:uiPriority w:val="0"/>
    <w:rPr>
      <w:rFonts w:ascii="Times New Roman" w:hAnsi="Times New Roman" w:eastAsia="黑体" w:cs="Times New Roman"/>
      <w:szCs w:val="20"/>
    </w:rPr>
  </w:style>
  <w:style w:type="character" w:customStyle="1" w:styleId="48">
    <w:name w:val="标题 3 字符"/>
    <w:basedOn w:val="39"/>
    <w:link w:val="4"/>
    <w:qFormat/>
    <w:uiPriority w:val="9"/>
    <w:rPr>
      <w:rFonts w:ascii="Calibri" w:hAnsi="Calibri" w:eastAsia="宋体" w:cs="Times New Roman"/>
      <w:b/>
      <w:bCs/>
      <w:sz w:val="32"/>
      <w:szCs w:val="32"/>
    </w:rPr>
  </w:style>
  <w:style w:type="character" w:customStyle="1" w:styleId="49">
    <w:name w:val="标题 4 字符"/>
    <w:basedOn w:val="39"/>
    <w:link w:val="5"/>
    <w:qFormat/>
    <w:uiPriority w:val="0"/>
    <w:rPr>
      <w:rFonts w:ascii="Arial" w:hAnsi="Arial" w:eastAsia="黑体" w:cs="Times New Roman"/>
      <w:b/>
      <w:sz w:val="28"/>
      <w:szCs w:val="20"/>
    </w:rPr>
  </w:style>
  <w:style w:type="character" w:customStyle="1" w:styleId="50">
    <w:name w:val="标题 5 字符"/>
    <w:basedOn w:val="39"/>
    <w:link w:val="6"/>
    <w:qFormat/>
    <w:uiPriority w:val="0"/>
    <w:rPr>
      <w:rFonts w:ascii="Times New Roman" w:hAnsi="Times New Roman" w:eastAsia="黑体" w:cs="Times New Roman"/>
      <w:szCs w:val="20"/>
    </w:rPr>
  </w:style>
  <w:style w:type="character" w:customStyle="1" w:styleId="51">
    <w:name w:val="标题 6 字符"/>
    <w:basedOn w:val="39"/>
    <w:link w:val="7"/>
    <w:qFormat/>
    <w:uiPriority w:val="0"/>
    <w:rPr>
      <w:rFonts w:ascii="Arial" w:hAnsi="Arial" w:eastAsia="黑体" w:cs="Times New Roman"/>
      <w:b/>
      <w:sz w:val="24"/>
      <w:szCs w:val="20"/>
    </w:rPr>
  </w:style>
  <w:style w:type="character" w:customStyle="1" w:styleId="52">
    <w:name w:val="标题 7 字符"/>
    <w:basedOn w:val="39"/>
    <w:link w:val="8"/>
    <w:qFormat/>
    <w:uiPriority w:val="0"/>
    <w:rPr>
      <w:rFonts w:ascii="Times New Roman" w:hAnsi="Times New Roman" w:eastAsia="宋体" w:cs="Times New Roman"/>
      <w:b/>
      <w:sz w:val="24"/>
      <w:szCs w:val="20"/>
    </w:rPr>
  </w:style>
  <w:style w:type="character" w:customStyle="1" w:styleId="53">
    <w:name w:val="标题 8 字符"/>
    <w:basedOn w:val="39"/>
    <w:link w:val="9"/>
    <w:qFormat/>
    <w:uiPriority w:val="0"/>
    <w:rPr>
      <w:rFonts w:ascii="Arial" w:hAnsi="Arial" w:eastAsia="黑体" w:cs="Times New Roman"/>
      <w:sz w:val="24"/>
      <w:szCs w:val="20"/>
    </w:rPr>
  </w:style>
  <w:style w:type="character" w:customStyle="1" w:styleId="54">
    <w:name w:val="标题 9 字符"/>
    <w:basedOn w:val="39"/>
    <w:link w:val="10"/>
    <w:qFormat/>
    <w:uiPriority w:val="0"/>
    <w:rPr>
      <w:rFonts w:ascii="Arial" w:hAnsi="Arial" w:eastAsia="黑体" w:cs="Times New Roman"/>
      <w:szCs w:val="20"/>
    </w:rPr>
  </w:style>
  <w:style w:type="paragraph" w:customStyle="1" w:styleId="55">
    <w:name w:val="样式6"/>
    <w:basedOn w:val="1"/>
    <w:link w:val="56"/>
    <w:qFormat/>
    <w:uiPriority w:val="0"/>
    <w:pPr>
      <w:topLinePunct/>
      <w:spacing w:before="460" w:after="460" w:line="480" w:lineRule="exact"/>
      <w:jc w:val="center"/>
    </w:pPr>
    <w:rPr>
      <w:rFonts w:eastAsia="黑体"/>
      <w:sz w:val="32"/>
      <w:szCs w:val="20"/>
    </w:rPr>
  </w:style>
  <w:style w:type="character" w:customStyle="1" w:styleId="56">
    <w:name w:val="样式6 Char"/>
    <w:basedOn w:val="39"/>
    <w:link w:val="55"/>
    <w:qFormat/>
    <w:uiPriority w:val="0"/>
    <w:rPr>
      <w:rFonts w:ascii="Times New Roman" w:hAnsi="Times New Roman" w:eastAsia="黑体" w:cs="Times New Roman"/>
      <w:sz w:val="32"/>
      <w:szCs w:val="20"/>
    </w:rPr>
  </w:style>
  <w:style w:type="character" w:customStyle="1" w:styleId="57">
    <w:name w:val="页眉 字符"/>
    <w:basedOn w:val="39"/>
    <w:link w:val="27"/>
    <w:qFormat/>
    <w:uiPriority w:val="0"/>
    <w:rPr>
      <w:rFonts w:ascii="Times New Roman" w:hAnsi="Times New Roman" w:eastAsia="宋体" w:cs="Times New Roman"/>
      <w:sz w:val="18"/>
      <w:szCs w:val="18"/>
    </w:rPr>
  </w:style>
  <w:style w:type="character" w:customStyle="1" w:styleId="58">
    <w:name w:val="页脚 字符"/>
    <w:basedOn w:val="39"/>
    <w:link w:val="26"/>
    <w:qFormat/>
    <w:uiPriority w:val="0"/>
    <w:rPr>
      <w:rFonts w:ascii="Times New Roman" w:hAnsi="Times New Roman" w:eastAsia="宋体" w:cs="Times New Roman"/>
      <w:sz w:val="18"/>
      <w:szCs w:val="18"/>
    </w:rPr>
  </w:style>
  <w:style w:type="paragraph" w:customStyle="1" w:styleId="59">
    <w:name w:val="样式2"/>
    <w:basedOn w:val="1"/>
    <w:qFormat/>
    <w:uiPriority w:val="0"/>
    <w:pPr>
      <w:widowControl/>
      <w:spacing w:line="312" w:lineRule="exact"/>
    </w:pPr>
    <w:rPr>
      <w:rFonts w:ascii="EU-F1" w:eastAsia="黑体"/>
      <w:color w:val="000000"/>
      <w:kern w:val="44"/>
      <w:szCs w:val="21"/>
    </w:rPr>
  </w:style>
  <w:style w:type="paragraph" w:customStyle="1" w:styleId="60">
    <w:name w:val="样式1"/>
    <w:basedOn w:val="1"/>
    <w:link w:val="231"/>
    <w:qFormat/>
    <w:uiPriority w:val="0"/>
    <w:pPr>
      <w:spacing w:line="480" w:lineRule="auto"/>
    </w:pPr>
    <w:rPr>
      <w:rFonts w:ascii="EU-F1" w:eastAsia="黑体"/>
      <w:szCs w:val="21"/>
    </w:rPr>
  </w:style>
  <w:style w:type="paragraph" w:customStyle="1" w:styleId="61">
    <w:name w:val="表头"/>
    <w:basedOn w:val="1"/>
    <w:qFormat/>
    <w:uiPriority w:val="0"/>
    <w:pPr>
      <w:spacing w:before="160" w:after="60" w:line="312" w:lineRule="exact"/>
      <w:jc w:val="center"/>
    </w:pPr>
    <w:rPr>
      <w:rFonts w:ascii="EU-F1" w:eastAsia="黑体"/>
      <w:szCs w:val="21"/>
    </w:rPr>
  </w:style>
  <w:style w:type="paragraph" w:customStyle="1" w:styleId="62">
    <w:name w:val="图片"/>
    <w:basedOn w:val="1"/>
    <w:qFormat/>
    <w:uiPriority w:val="0"/>
    <w:pPr>
      <w:snapToGrid w:val="0"/>
      <w:spacing w:before="100" w:after="60"/>
      <w:jc w:val="center"/>
    </w:pPr>
  </w:style>
  <w:style w:type="paragraph" w:customStyle="1" w:styleId="63">
    <w:name w:val="图说"/>
    <w:basedOn w:val="1"/>
    <w:qFormat/>
    <w:uiPriority w:val="0"/>
    <w:pPr>
      <w:topLinePunct/>
      <w:spacing w:before="60" w:after="160" w:line="312" w:lineRule="exact"/>
      <w:jc w:val="center"/>
    </w:pPr>
    <w:rPr>
      <w:rFonts w:ascii="EU-F1" w:eastAsia="黑体"/>
      <w:szCs w:val="21"/>
    </w:rPr>
  </w:style>
  <w:style w:type="paragraph" w:customStyle="1" w:styleId="64">
    <w:name w:val="Char3"/>
    <w:basedOn w:val="1"/>
    <w:semiHidden/>
    <w:qFormat/>
    <w:uiPriority w:val="0"/>
    <w:rPr>
      <w:szCs w:val="20"/>
    </w:rPr>
  </w:style>
  <w:style w:type="paragraph" w:customStyle="1" w:styleId="65">
    <w:name w:val="样式4"/>
    <w:basedOn w:val="1"/>
    <w:qFormat/>
    <w:uiPriority w:val="0"/>
    <w:pPr>
      <w:spacing w:before="240" w:line="600" w:lineRule="exact"/>
      <w:jc w:val="center"/>
    </w:pPr>
    <w:rPr>
      <w:rFonts w:eastAsia="黑体"/>
      <w:sz w:val="54"/>
      <w:szCs w:val="54"/>
    </w:rPr>
  </w:style>
  <w:style w:type="paragraph" w:customStyle="1" w:styleId="66">
    <w:name w:val="样式4a"/>
    <w:basedOn w:val="1"/>
    <w:qFormat/>
    <w:uiPriority w:val="0"/>
    <w:pPr>
      <w:spacing w:line="600" w:lineRule="exact"/>
      <w:ind w:left="-113" w:right="-113"/>
      <w:jc w:val="center"/>
    </w:pPr>
    <w:rPr>
      <w:rFonts w:eastAsia="黑体"/>
      <w:sz w:val="54"/>
      <w:szCs w:val="54"/>
    </w:rPr>
  </w:style>
  <w:style w:type="paragraph" w:customStyle="1" w:styleId="67">
    <w:name w:val="样式7"/>
    <w:basedOn w:val="2"/>
    <w:qFormat/>
    <w:uiPriority w:val="0"/>
    <w:pPr>
      <w:topLinePunct/>
      <w:spacing w:before="120" w:after="120" w:line="360" w:lineRule="auto"/>
      <w:jc w:val="center"/>
    </w:pPr>
    <w:rPr>
      <w:rFonts w:hAnsi="宋体" w:eastAsia="黑体"/>
      <w:b w:val="0"/>
      <w:bCs w:val="0"/>
      <w:color w:val="000000"/>
      <w:sz w:val="44"/>
      <w:szCs w:val="20"/>
    </w:rPr>
  </w:style>
  <w:style w:type="character" w:customStyle="1" w:styleId="68">
    <w:name w:val="批注文字 字符"/>
    <w:basedOn w:val="39"/>
    <w:link w:val="16"/>
    <w:qFormat/>
    <w:uiPriority w:val="99"/>
    <w:rPr>
      <w:rFonts w:ascii="Times New Roman" w:hAnsi="Times New Roman" w:eastAsia="宋体" w:cs="Times New Roman"/>
      <w:szCs w:val="24"/>
    </w:rPr>
  </w:style>
  <w:style w:type="character" w:customStyle="1" w:styleId="69">
    <w:name w:val="批注主题 字符"/>
    <w:basedOn w:val="68"/>
    <w:link w:val="36"/>
    <w:qFormat/>
    <w:uiPriority w:val="0"/>
    <w:rPr>
      <w:rFonts w:ascii="Times New Roman" w:hAnsi="Times New Roman" w:eastAsia="宋体" w:cs="Times New Roman"/>
      <w:b/>
      <w:bCs/>
      <w:szCs w:val="24"/>
    </w:rPr>
  </w:style>
  <w:style w:type="paragraph" w:customStyle="1" w:styleId="70">
    <w:name w:val="修订1"/>
    <w:hidden/>
    <w:semiHidden/>
    <w:qFormat/>
    <w:uiPriority w:val="99"/>
    <w:rPr>
      <w:rFonts w:ascii="Times New Roman" w:hAnsi="Times New Roman" w:eastAsia="宋体" w:cs="Times New Roman"/>
      <w:kern w:val="2"/>
      <w:sz w:val="21"/>
      <w:szCs w:val="24"/>
      <w:lang w:val="en-US" w:eastAsia="zh-CN" w:bidi="ar-SA"/>
    </w:rPr>
  </w:style>
  <w:style w:type="paragraph" w:customStyle="1" w:styleId="71">
    <w:name w:val="默认段落字体 Para Char Char Char Char Char"/>
    <w:basedOn w:val="1"/>
    <w:semiHidden/>
    <w:qFormat/>
    <w:uiPriority w:val="0"/>
    <w:rPr>
      <w:rFonts w:ascii="宋体" w:hAnsi="宋体"/>
      <w:b/>
      <w:color w:val="000000"/>
      <w:sz w:val="24"/>
    </w:rPr>
  </w:style>
  <w:style w:type="character" w:customStyle="1" w:styleId="72">
    <w:name w:val="文档结构图 字符"/>
    <w:basedOn w:val="39"/>
    <w:link w:val="15"/>
    <w:qFormat/>
    <w:uiPriority w:val="0"/>
    <w:rPr>
      <w:rFonts w:ascii="宋体" w:hAnsi="Times New Roman" w:eastAsia="宋体" w:cs="Times New Roman"/>
      <w:sz w:val="18"/>
      <w:szCs w:val="18"/>
    </w:rPr>
  </w:style>
  <w:style w:type="character" w:customStyle="1" w:styleId="73">
    <w:name w:val="high-light-bg"/>
    <w:basedOn w:val="39"/>
    <w:qFormat/>
    <w:uiPriority w:val="0"/>
  </w:style>
  <w:style w:type="character" w:customStyle="1" w:styleId="74">
    <w:name w:val="apple-converted-space"/>
    <w:basedOn w:val="39"/>
    <w:qFormat/>
    <w:uiPriority w:val="0"/>
  </w:style>
  <w:style w:type="character" w:customStyle="1" w:styleId="75">
    <w:name w:val="正文文本 字符"/>
    <w:basedOn w:val="39"/>
    <w:link w:val="17"/>
    <w:qFormat/>
    <w:uiPriority w:val="99"/>
    <w:rPr>
      <w:rFonts w:ascii="Times New Roman" w:hAnsi="Times New Roman" w:eastAsia="宋体" w:cs="Times New Roman"/>
      <w:szCs w:val="24"/>
    </w:rPr>
  </w:style>
  <w:style w:type="character" w:customStyle="1" w:styleId="76">
    <w:name w:val="正文文本首行缩进 字符"/>
    <w:basedOn w:val="75"/>
    <w:link w:val="37"/>
    <w:qFormat/>
    <w:uiPriority w:val="0"/>
    <w:rPr>
      <w:rFonts w:ascii="Times New Roman" w:hAnsi="Times New Roman" w:eastAsia="宋体" w:cs="Times New Roman"/>
      <w:szCs w:val="24"/>
    </w:rPr>
  </w:style>
  <w:style w:type="character" w:customStyle="1" w:styleId="77">
    <w:name w:val="题注 字符"/>
    <w:link w:val="13"/>
    <w:qFormat/>
    <w:uiPriority w:val="0"/>
    <w:rPr>
      <w:rFonts w:ascii="Cambria" w:hAnsi="Cambria" w:eastAsia="黑体" w:cs="Times New Roman"/>
      <w:sz w:val="20"/>
      <w:szCs w:val="20"/>
    </w:rPr>
  </w:style>
  <w:style w:type="character" w:customStyle="1" w:styleId="78">
    <w:name w:val="正文文本缩进 字符"/>
    <w:basedOn w:val="39"/>
    <w:link w:val="18"/>
    <w:qFormat/>
    <w:uiPriority w:val="0"/>
    <w:rPr>
      <w:rFonts w:ascii="Times New Roman" w:hAnsi="Times New Roman" w:eastAsia="宋体" w:cs="Times New Roman"/>
      <w:color w:val="000000"/>
      <w:kern w:val="0"/>
      <w:sz w:val="20"/>
      <w:szCs w:val="24"/>
    </w:rPr>
  </w:style>
  <w:style w:type="character" w:customStyle="1" w:styleId="79">
    <w:name w:val="纯文本 字符"/>
    <w:basedOn w:val="39"/>
    <w:link w:val="21"/>
    <w:qFormat/>
    <w:uiPriority w:val="0"/>
    <w:rPr>
      <w:rFonts w:ascii="宋体" w:hAnsi="Courier New" w:eastAsia="宋体" w:cs="Times New Roman"/>
      <w:szCs w:val="20"/>
    </w:rPr>
  </w:style>
  <w:style w:type="character" w:customStyle="1" w:styleId="80">
    <w:name w:val="日期 字符"/>
    <w:basedOn w:val="39"/>
    <w:link w:val="23"/>
    <w:qFormat/>
    <w:uiPriority w:val="0"/>
    <w:rPr>
      <w:rFonts w:ascii="Times New Roman" w:hAnsi="Times New Roman" w:eastAsia="宋体" w:cs="Times New Roman"/>
      <w:kern w:val="0"/>
      <w:sz w:val="28"/>
      <w:szCs w:val="24"/>
    </w:rPr>
  </w:style>
  <w:style w:type="character" w:customStyle="1" w:styleId="81">
    <w:name w:val="正文文本缩进 2 字符"/>
    <w:basedOn w:val="39"/>
    <w:link w:val="24"/>
    <w:qFormat/>
    <w:uiPriority w:val="0"/>
    <w:rPr>
      <w:rFonts w:ascii="宋体" w:hAnsi="Times New Roman" w:eastAsia="宋体" w:cs="Times New Roman"/>
      <w:kern w:val="0"/>
      <w:sz w:val="20"/>
      <w:szCs w:val="24"/>
    </w:rPr>
  </w:style>
  <w:style w:type="character" w:customStyle="1" w:styleId="82">
    <w:name w:val="正文文本缩进 3 字符"/>
    <w:basedOn w:val="39"/>
    <w:link w:val="31"/>
    <w:qFormat/>
    <w:uiPriority w:val="0"/>
    <w:rPr>
      <w:rFonts w:ascii="Times New Roman" w:hAnsi="Times New Roman" w:eastAsia="宋体" w:cs="Times New Roman"/>
      <w:color w:val="0000FF"/>
      <w:kern w:val="0"/>
      <w:sz w:val="20"/>
      <w:szCs w:val="21"/>
    </w:rPr>
  </w:style>
  <w:style w:type="character" w:customStyle="1" w:styleId="83">
    <w:name w:val="标题 Char"/>
    <w:basedOn w:val="39"/>
    <w:link w:val="84"/>
    <w:qFormat/>
    <w:uiPriority w:val="0"/>
    <w:rPr>
      <w:rFonts w:eastAsia="宋体" w:asciiTheme="majorHAnsi" w:hAnsiTheme="majorHAnsi" w:cstheme="majorBidi"/>
      <w:b/>
      <w:bCs/>
      <w:sz w:val="32"/>
      <w:szCs w:val="32"/>
    </w:rPr>
  </w:style>
  <w:style w:type="paragraph" w:customStyle="1" w:styleId="84">
    <w:name w:val="标题5"/>
    <w:basedOn w:val="1"/>
    <w:next w:val="1"/>
    <w:link w:val="83"/>
    <w:unhideWhenUsed/>
    <w:qFormat/>
    <w:uiPriority w:val="0"/>
    <w:pPr>
      <w:spacing w:line="360" w:lineRule="auto"/>
      <w:jc w:val="center"/>
    </w:pPr>
    <w:rPr>
      <w:rFonts w:asciiTheme="majorHAnsi" w:hAnsiTheme="majorHAnsi" w:cstheme="majorBidi"/>
      <w:b/>
      <w:bCs/>
      <w:sz w:val="32"/>
      <w:szCs w:val="32"/>
    </w:rPr>
  </w:style>
  <w:style w:type="character" w:customStyle="1" w:styleId="85">
    <w:name w:val="标题 字符"/>
    <w:link w:val="35"/>
    <w:qFormat/>
    <w:locked/>
    <w:uiPriority w:val="0"/>
    <w:rPr>
      <w:rFonts w:ascii="宋体" w:hAnsi="宋体" w:eastAsia="宋体" w:cs="Times New Roman"/>
      <w:szCs w:val="20"/>
    </w:rPr>
  </w:style>
  <w:style w:type="paragraph" w:customStyle="1" w:styleId="86">
    <w:name w:val="无间隔1"/>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87">
    <w:name w:val="默认段落字体 Para Char Char Char Char"/>
    <w:basedOn w:val="1"/>
    <w:qFormat/>
    <w:uiPriority w:val="0"/>
  </w:style>
  <w:style w:type="paragraph" w:customStyle="1" w:styleId="88">
    <w:name w:val="正文内容"/>
    <w:basedOn w:val="1"/>
    <w:qFormat/>
    <w:uiPriority w:val="0"/>
    <w:pPr>
      <w:adjustRightInd w:val="0"/>
      <w:snapToGrid w:val="0"/>
    </w:pPr>
    <w:rPr>
      <w:rFonts w:ascii="宋体" w:hAnsi="宋体"/>
      <w:sz w:val="18"/>
      <w:szCs w:val="21"/>
    </w:rPr>
  </w:style>
  <w:style w:type="paragraph" w:customStyle="1" w:styleId="89">
    <w:name w:val="页脚1"/>
    <w:basedOn w:val="1"/>
    <w:qFormat/>
    <w:uiPriority w:val="0"/>
    <w:pPr>
      <w:tabs>
        <w:tab w:val="center" w:pos="4153"/>
        <w:tab w:val="right" w:pos="8306"/>
      </w:tabs>
      <w:snapToGrid w:val="0"/>
      <w:jc w:val="left"/>
    </w:pPr>
    <w:rPr>
      <w:rFonts w:ascii="方正小标宋_GBK" w:hAnsi="宋体" w:eastAsia="方正小标宋_GBK"/>
      <w:b/>
      <w:sz w:val="18"/>
      <w:szCs w:val="20"/>
    </w:rPr>
  </w:style>
  <w:style w:type="paragraph" w:customStyle="1" w:styleId="90">
    <w:name w:val="p17"/>
    <w:basedOn w:val="1"/>
    <w:qFormat/>
    <w:uiPriority w:val="0"/>
    <w:pPr>
      <w:widowControl/>
    </w:pPr>
    <w:rPr>
      <w:kern w:val="0"/>
      <w:szCs w:val="21"/>
    </w:rPr>
  </w:style>
  <w:style w:type="paragraph" w:customStyle="1" w:styleId="91">
    <w:name w:val="标题2"/>
    <w:basedOn w:val="1"/>
    <w:qFormat/>
    <w:uiPriority w:val="0"/>
    <w:pPr>
      <w:tabs>
        <w:tab w:val="left" w:pos="840"/>
      </w:tabs>
      <w:adjustRightInd w:val="0"/>
      <w:snapToGrid w:val="0"/>
      <w:spacing w:line="320" w:lineRule="exact"/>
      <w:jc w:val="left"/>
      <w:outlineLvl w:val="1"/>
    </w:pPr>
    <w:rPr>
      <w:rFonts w:ascii="宋体" w:hAnsi="宋体" w:eastAsia="黑体"/>
      <w:b/>
      <w:color w:val="000000"/>
      <w:kern w:val="0"/>
      <w:szCs w:val="21"/>
    </w:rPr>
  </w:style>
  <w:style w:type="paragraph" w:customStyle="1" w:styleId="92">
    <w:name w:val="小五黑体"/>
    <w:basedOn w:val="1"/>
    <w:qFormat/>
    <w:uiPriority w:val="0"/>
    <w:pPr>
      <w:spacing w:line="318" w:lineRule="exact"/>
      <w:jc w:val="center"/>
    </w:pPr>
    <w:rPr>
      <w:rFonts w:ascii="汉仪中黑简" w:eastAsia="汉仪中黑简"/>
      <w:bCs/>
      <w:sz w:val="18"/>
      <w:szCs w:val="21"/>
    </w:rPr>
  </w:style>
  <w:style w:type="paragraph" w:customStyle="1" w:styleId="93">
    <w:name w:val="样式 标题 4 + 宋体 行距: 1.5 倍行距"/>
    <w:basedOn w:val="5"/>
    <w:qFormat/>
    <w:uiPriority w:val="0"/>
    <w:pPr>
      <w:spacing w:before="0" w:after="0" w:line="360" w:lineRule="auto"/>
    </w:pPr>
    <w:rPr>
      <w:rFonts w:ascii="宋体" w:hAnsi="宋体" w:eastAsia="宋体"/>
      <w:bCs/>
      <w:kern w:val="0"/>
      <w:sz w:val="21"/>
    </w:rPr>
  </w:style>
  <w:style w:type="paragraph" w:customStyle="1" w:styleId="94">
    <w:name w:val="Pa0"/>
    <w:basedOn w:val="1"/>
    <w:next w:val="1"/>
    <w:qFormat/>
    <w:uiPriority w:val="0"/>
    <w:pPr>
      <w:autoSpaceDE w:val="0"/>
      <w:autoSpaceDN w:val="0"/>
      <w:adjustRightInd w:val="0"/>
      <w:spacing w:line="241" w:lineRule="atLeast"/>
      <w:jc w:val="left"/>
    </w:pPr>
    <w:rPr>
      <w:kern w:val="0"/>
      <w:sz w:val="24"/>
      <w:szCs w:val="20"/>
    </w:rPr>
  </w:style>
  <w:style w:type="paragraph" w:customStyle="1" w:styleId="95">
    <w:name w:val="样式 标题 4 + 宋体 行距: 1.5 倍行距 首行缩进:  2 字符"/>
    <w:basedOn w:val="5"/>
    <w:qFormat/>
    <w:uiPriority w:val="0"/>
    <w:pPr>
      <w:spacing w:before="0" w:after="0" w:line="360" w:lineRule="auto"/>
    </w:pPr>
    <w:rPr>
      <w:rFonts w:ascii="宋体" w:hAnsi="宋体" w:eastAsia="宋体"/>
      <w:bCs/>
      <w:kern w:val="0"/>
      <w:sz w:val="21"/>
    </w:rPr>
  </w:style>
  <w:style w:type="paragraph" w:customStyle="1" w:styleId="96">
    <w:name w:val="表名"/>
    <w:basedOn w:val="13"/>
    <w:link w:val="97"/>
    <w:qFormat/>
    <w:uiPriority w:val="0"/>
    <w:pPr>
      <w:keepNext/>
      <w:spacing w:line="240" w:lineRule="auto"/>
      <w:ind w:firstLine="361" w:firstLineChars="150"/>
      <w:jc w:val="left"/>
    </w:pPr>
    <w:rPr>
      <w:rFonts w:ascii="黑体" w:hAnsi="黑体"/>
      <w:b/>
      <w:sz w:val="21"/>
      <w:szCs w:val="24"/>
    </w:rPr>
  </w:style>
  <w:style w:type="character" w:customStyle="1" w:styleId="97">
    <w:name w:val="表名 Char Char"/>
    <w:link w:val="96"/>
    <w:qFormat/>
    <w:uiPriority w:val="0"/>
    <w:rPr>
      <w:rFonts w:ascii="黑体" w:hAnsi="黑体" w:eastAsia="黑体" w:cs="Times New Roman"/>
      <w:b/>
      <w:szCs w:val="24"/>
    </w:rPr>
  </w:style>
  <w:style w:type="paragraph" w:customStyle="1" w:styleId="98">
    <w:name w:val="批注框文本 Char Char"/>
    <w:basedOn w:val="1"/>
    <w:qFormat/>
    <w:uiPriority w:val="99"/>
    <w:pPr>
      <w:ind w:firstLine="200" w:firstLineChars="200"/>
    </w:pPr>
    <w:rPr>
      <w:rFonts w:ascii="Arial" w:hAnsi="Arial"/>
      <w:sz w:val="18"/>
      <w:szCs w:val="18"/>
    </w:rPr>
  </w:style>
  <w:style w:type="paragraph" w:customStyle="1" w:styleId="99">
    <w:name w:val="五号黑体"/>
    <w:basedOn w:val="1"/>
    <w:qFormat/>
    <w:uiPriority w:val="0"/>
    <w:pPr>
      <w:adjustRightInd w:val="0"/>
      <w:snapToGrid w:val="0"/>
      <w:spacing w:line="320" w:lineRule="exact"/>
    </w:pPr>
    <w:rPr>
      <w:rFonts w:eastAsia="汉仪中黑简"/>
      <w:bCs/>
      <w:szCs w:val="21"/>
    </w:rPr>
  </w:style>
  <w:style w:type="paragraph" w:customStyle="1" w:styleId="100">
    <w:name w:val="xl76"/>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top"/>
    </w:pPr>
    <w:rPr>
      <w:rFonts w:ascii="Arial" w:hAnsi="Arial" w:cs="Arial"/>
      <w:kern w:val="0"/>
      <w:szCs w:val="21"/>
    </w:rPr>
  </w:style>
  <w:style w:type="paragraph" w:customStyle="1" w:styleId="101">
    <w:name w:val="批注框文本1"/>
    <w:basedOn w:val="1"/>
    <w:qFormat/>
    <w:uiPriority w:val="0"/>
    <w:rPr>
      <w:rFonts w:ascii="方正小标宋_GBK" w:hAnsi="宋体" w:eastAsia="方正小标宋_GBK"/>
      <w:b/>
      <w:sz w:val="18"/>
      <w:szCs w:val="20"/>
    </w:rPr>
  </w:style>
  <w:style w:type="paragraph" w:customStyle="1" w:styleId="102">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03">
    <w:name w:val="列出段落1"/>
    <w:basedOn w:val="1"/>
    <w:qFormat/>
    <w:uiPriority w:val="0"/>
    <w:pPr>
      <w:ind w:firstLine="420" w:firstLineChars="200"/>
    </w:pPr>
  </w:style>
  <w:style w:type="paragraph" w:customStyle="1" w:styleId="104">
    <w:name w:val="小四大宋"/>
    <w:basedOn w:val="1"/>
    <w:qFormat/>
    <w:uiPriority w:val="0"/>
    <w:pPr>
      <w:spacing w:line="320" w:lineRule="exact"/>
    </w:pPr>
    <w:rPr>
      <w:rFonts w:eastAsia="汉仪大宋简"/>
      <w:bCs/>
      <w:sz w:val="24"/>
      <w:szCs w:val="21"/>
    </w:rPr>
  </w:style>
  <w:style w:type="paragraph" w:customStyle="1" w:styleId="105">
    <w:name w:val="修订11"/>
    <w:qFormat/>
    <w:uiPriority w:val="0"/>
    <w:rPr>
      <w:rFonts w:ascii="Arial" w:hAnsi="Arial" w:eastAsia="宋体" w:cs="Times New Roman"/>
      <w:kern w:val="2"/>
      <w:sz w:val="21"/>
      <w:szCs w:val="22"/>
      <w:lang w:val="en-US" w:eastAsia="zh-CN" w:bidi="ar-SA"/>
    </w:rPr>
  </w:style>
  <w:style w:type="paragraph" w:customStyle="1" w:styleId="106">
    <w:name w:val="日期1"/>
    <w:basedOn w:val="1"/>
    <w:next w:val="1"/>
    <w:qFormat/>
    <w:uiPriority w:val="0"/>
    <w:pPr>
      <w:ind w:left="100" w:leftChars="2500"/>
    </w:pPr>
    <w:rPr>
      <w:rFonts w:ascii="方正小标宋_GBK" w:hAnsi="宋体" w:eastAsia="方正小标宋_GBK"/>
      <w:b/>
      <w:spacing w:val="20"/>
      <w:szCs w:val="20"/>
    </w:rPr>
  </w:style>
  <w:style w:type="paragraph" w:customStyle="1" w:styleId="107">
    <w:name w:val="页眉1"/>
    <w:basedOn w:val="1"/>
    <w:qFormat/>
    <w:uiPriority w:val="0"/>
    <w:pPr>
      <w:pBdr>
        <w:bottom w:val="single" w:color="auto" w:sz="6" w:space="1"/>
      </w:pBdr>
      <w:tabs>
        <w:tab w:val="center" w:pos="4153"/>
        <w:tab w:val="right" w:pos="8306"/>
      </w:tabs>
      <w:snapToGrid w:val="0"/>
      <w:jc w:val="center"/>
    </w:pPr>
    <w:rPr>
      <w:rFonts w:ascii="方正小标宋_GBK" w:hAnsi="宋体" w:eastAsia="方正小标宋_GBK"/>
      <w:b/>
      <w:sz w:val="18"/>
      <w:szCs w:val="20"/>
    </w:rPr>
  </w:style>
  <w:style w:type="paragraph" w:customStyle="1" w:styleId="108">
    <w:name w:val="列出段落111"/>
    <w:basedOn w:val="1"/>
    <w:qFormat/>
    <w:uiPriority w:val="34"/>
    <w:pPr>
      <w:spacing w:line="360" w:lineRule="auto"/>
      <w:ind w:firstLine="420" w:firstLineChars="200"/>
    </w:pPr>
    <w:rPr>
      <w:rFonts w:ascii="Arial" w:hAnsi="Arial" w:cs="Arial"/>
      <w:szCs w:val="21"/>
    </w:rPr>
  </w:style>
  <w:style w:type="paragraph" w:customStyle="1" w:styleId="109">
    <w:name w:val="xl85"/>
    <w:basedOn w:val="1"/>
    <w:qFormat/>
    <w:uiPriority w:val="0"/>
    <w:pPr>
      <w:widowControl/>
      <w:pBdr>
        <w:top w:val="single" w:color="auto" w:sz="8" w:space="0"/>
        <w:bottom w:val="single" w:color="auto" w:sz="8" w:space="0"/>
      </w:pBdr>
      <w:spacing w:before="100" w:beforeAutospacing="1" w:after="100" w:afterAutospacing="1"/>
      <w:jc w:val="center"/>
      <w:textAlignment w:val="top"/>
    </w:pPr>
    <w:rPr>
      <w:rFonts w:ascii="宋体" w:hAnsi="宋体" w:cs="宋体"/>
      <w:kern w:val="0"/>
      <w:szCs w:val="21"/>
    </w:rPr>
  </w:style>
  <w:style w:type="paragraph" w:customStyle="1" w:styleId="110">
    <w:name w:val="xl80"/>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pPr>
    <w:rPr>
      <w:rFonts w:ascii="宋体" w:hAnsi="宋体" w:cs="宋体"/>
      <w:kern w:val="0"/>
      <w:sz w:val="18"/>
      <w:szCs w:val="18"/>
    </w:rPr>
  </w:style>
  <w:style w:type="paragraph" w:customStyle="1" w:styleId="111">
    <w:name w:val="表格文字"/>
    <w:basedOn w:val="1"/>
    <w:qFormat/>
    <w:uiPriority w:val="0"/>
    <w:pPr>
      <w:spacing w:line="200" w:lineRule="exact"/>
      <w:jc w:val="center"/>
    </w:pPr>
    <w:rPr>
      <w:rFonts w:ascii="汉仪书宋二简" w:hAnsi="宋体" w:eastAsia="汉仪书宋二简"/>
      <w:sz w:val="18"/>
      <w:szCs w:val="18"/>
    </w:rPr>
  </w:style>
  <w:style w:type="paragraph" w:customStyle="1" w:styleId="112">
    <w:name w:val="xl70"/>
    <w:basedOn w:val="1"/>
    <w:qFormat/>
    <w:uiPriority w:val="0"/>
    <w:pPr>
      <w:widowControl/>
      <w:pBdr>
        <w:top w:val="single" w:color="auto" w:sz="8" w:space="0"/>
        <w:bottom w:val="single" w:color="auto" w:sz="8" w:space="0"/>
        <w:right w:val="single" w:color="auto" w:sz="8" w:space="0"/>
      </w:pBdr>
      <w:spacing w:before="100" w:beforeAutospacing="1" w:after="100" w:afterAutospacing="1"/>
      <w:jc w:val="center"/>
      <w:textAlignment w:val="top"/>
    </w:pPr>
    <w:rPr>
      <w:rFonts w:ascii="宋体" w:hAnsi="宋体" w:cs="宋体"/>
      <w:kern w:val="0"/>
      <w:szCs w:val="21"/>
    </w:rPr>
  </w:style>
  <w:style w:type="paragraph" w:customStyle="1" w:styleId="113">
    <w:name w:val="列出段落11"/>
    <w:basedOn w:val="1"/>
    <w:qFormat/>
    <w:uiPriority w:val="0"/>
    <w:pPr>
      <w:spacing w:line="360" w:lineRule="auto"/>
      <w:ind w:firstLine="420" w:firstLineChars="200"/>
    </w:pPr>
    <w:rPr>
      <w:rFonts w:ascii="Arial" w:hAnsi="Arial" w:cs="Arial"/>
      <w:szCs w:val="21"/>
    </w:rPr>
  </w:style>
  <w:style w:type="paragraph" w:customStyle="1" w:styleId="114">
    <w:name w:val="p0"/>
    <w:basedOn w:val="1"/>
    <w:link w:val="115"/>
    <w:qFormat/>
    <w:uiPriority w:val="0"/>
    <w:pPr>
      <w:widowControl/>
      <w:spacing w:line="500" w:lineRule="atLeast"/>
      <w:ind w:firstLine="420"/>
    </w:pPr>
    <w:rPr>
      <w:rFonts w:ascii="宋体" w:hAnsi="宋体"/>
      <w:kern w:val="0"/>
      <w:szCs w:val="21"/>
    </w:rPr>
  </w:style>
  <w:style w:type="character" w:customStyle="1" w:styleId="115">
    <w:name w:val="p0 Char Char"/>
    <w:link w:val="114"/>
    <w:qFormat/>
    <w:uiPriority w:val="0"/>
    <w:rPr>
      <w:rFonts w:ascii="宋体" w:hAnsi="宋体" w:eastAsia="宋体" w:cs="Times New Roman"/>
      <w:kern w:val="0"/>
      <w:szCs w:val="21"/>
    </w:rPr>
  </w:style>
  <w:style w:type="paragraph" w:customStyle="1" w:styleId="116">
    <w:name w:val="普通(网站)1"/>
    <w:basedOn w:val="1"/>
    <w:qFormat/>
    <w:uiPriority w:val="0"/>
    <w:pPr>
      <w:widowControl/>
      <w:spacing w:before="100" w:beforeAutospacing="1" w:after="100" w:afterAutospacing="1"/>
      <w:jc w:val="left"/>
    </w:pPr>
    <w:rPr>
      <w:rFonts w:ascii="宋体" w:hAnsi="宋体" w:cs="宋体"/>
      <w:kern w:val="0"/>
      <w:sz w:val="24"/>
    </w:rPr>
  </w:style>
  <w:style w:type="paragraph" w:customStyle="1" w:styleId="117">
    <w:name w:val="xl67"/>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top"/>
    </w:pPr>
    <w:rPr>
      <w:rFonts w:ascii="宋体" w:hAnsi="宋体" w:cs="宋体"/>
      <w:kern w:val="0"/>
      <w:szCs w:val="21"/>
    </w:rPr>
  </w:style>
  <w:style w:type="paragraph" w:customStyle="1" w:styleId="118">
    <w:name w:val="Char Char Char Char Char Char Char"/>
    <w:basedOn w:val="1"/>
    <w:qFormat/>
    <w:uiPriority w:val="0"/>
    <w:rPr>
      <w:szCs w:val="21"/>
    </w:rPr>
  </w:style>
  <w:style w:type="paragraph" w:customStyle="1" w:styleId="119">
    <w:name w:val="xl87"/>
    <w:basedOn w:val="1"/>
    <w:qFormat/>
    <w:uiPriority w:val="0"/>
    <w:pPr>
      <w:widowControl/>
      <w:pBdr>
        <w:top w:val="single" w:color="auto" w:sz="8" w:space="0"/>
        <w:bottom w:val="single" w:color="auto" w:sz="8" w:space="0"/>
      </w:pBdr>
      <w:spacing w:before="100" w:beforeAutospacing="1" w:after="100" w:afterAutospacing="1"/>
      <w:jc w:val="center"/>
      <w:textAlignment w:val="top"/>
    </w:pPr>
    <w:rPr>
      <w:rFonts w:ascii="宋体" w:hAnsi="宋体" w:cs="宋体"/>
      <w:kern w:val="0"/>
      <w:szCs w:val="21"/>
    </w:rPr>
  </w:style>
  <w:style w:type="paragraph" w:customStyle="1" w:styleId="120">
    <w:name w:val="font7"/>
    <w:basedOn w:val="1"/>
    <w:qFormat/>
    <w:uiPriority w:val="0"/>
    <w:pPr>
      <w:widowControl/>
      <w:spacing w:before="100" w:beforeAutospacing="1" w:after="100" w:afterAutospacing="1"/>
      <w:jc w:val="left"/>
    </w:pPr>
    <w:rPr>
      <w:rFonts w:ascii="宋体" w:hAnsi="宋体" w:cs="宋体"/>
      <w:color w:val="000000"/>
      <w:kern w:val="0"/>
      <w:szCs w:val="21"/>
    </w:rPr>
  </w:style>
  <w:style w:type="paragraph" w:customStyle="1" w:styleId="121">
    <w:name w:val="付标题"/>
    <w:basedOn w:val="1"/>
    <w:qFormat/>
    <w:uiPriority w:val="0"/>
    <w:pPr>
      <w:adjustRightInd w:val="0"/>
      <w:spacing w:before="360" w:line="360" w:lineRule="auto"/>
      <w:jc w:val="center"/>
    </w:pPr>
    <w:rPr>
      <w:rFonts w:eastAsia="黑体"/>
      <w:kern w:val="0"/>
      <w:sz w:val="48"/>
    </w:rPr>
  </w:style>
  <w:style w:type="paragraph" w:customStyle="1" w:styleId="122">
    <w:name w:val="正文1"/>
    <w:qFormat/>
    <w:uiPriority w:val="0"/>
    <w:pPr>
      <w:widowControl w:val="0"/>
      <w:adjustRightInd w:val="0"/>
      <w:spacing w:line="315" w:lineRule="atLeast"/>
      <w:jc w:val="both"/>
      <w:textAlignment w:val="baseline"/>
    </w:pPr>
    <w:rPr>
      <w:rFonts w:ascii="宋体" w:hAnsi="Times New Roman" w:eastAsia="宋体" w:cs="Times New Roman"/>
      <w:sz w:val="21"/>
      <w:lang w:val="en-US" w:eastAsia="zh-CN" w:bidi="ar-SA"/>
    </w:rPr>
  </w:style>
  <w:style w:type="paragraph" w:customStyle="1" w:styleId="123">
    <w:name w:val="Char Char Char Char"/>
    <w:basedOn w:val="1"/>
    <w:qFormat/>
    <w:uiPriority w:val="0"/>
    <w:rPr>
      <w:szCs w:val="21"/>
    </w:rPr>
  </w:style>
  <w:style w:type="paragraph" w:customStyle="1" w:styleId="124">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25">
    <w:name w:val="xl74"/>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pPr>
    <w:rPr>
      <w:rFonts w:ascii="宋体" w:hAnsi="宋体" w:cs="宋体"/>
      <w:kern w:val="0"/>
      <w:sz w:val="20"/>
      <w:szCs w:val="20"/>
    </w:rPr>
  </w:style>
  <w:style w:type="paragraph" w:customStyle="1" w:styleId="126">
    <w:name w:val="font8"/>
    <w:basedOn w:val="1"/>
    <w:qFormat/>
    <w:uiPriority w:val="0"/>
    <w:pPr>
      <w:widowControl/>
      <w:spacing w:before="100" w:beforeAutospacing="1" w:after="100" w:afterAutospacing="1"/>
      <w:jc w:val="left"/>
    </w:pPr>
    <w:rPr>
      <w:rFonts w:ascii="Arial" w:hAnsi="Arial" w:cs="Arial"/>
      <w:color w:val="000000"/>
      <w:kern w:val="0"/>
      <w:szCs w:val="21"/>
    </w:rPr>
  </w:style>
  <w:style w:type="paragraph" w:customStyle="1" w:styleId="127">
    <w:name w:val="标题 11"/>
    <w:basedOn w:val="1"/>
    <w:next w:val="1"/>
    <w:unhideWhenUsed/>
    <w:qFormat/>
    <w:uiPriority w:val="0"/>
    <w:pPr>
      <w:keepNext/>
      <w:keepLines/>
      <w:spacing w:afterLines="100" w:line="360" w:lineRule="auto"/>
      <w:jc w:val="center"/>
      <w:outlineLvl w:val="0"/>
    </w:pPr>
    <w:rPr>
      <w:rFonts w:hint="eastAsia" w:ascii="宋体" w:hAnsi="宋体"/>
      <w:b/>
      <w:kern w:val="44"/>
      <w:sz w:val="32"/>
      <w:szCs w:val="20"/>
    </w:rPr>
  </w:style>
  <w:style w:type="paragraph" w:customStyle="1" w:styleId="128">
    <w:name w:val="reader-word-layer reader-word-s1-7"/>
    <w:basedOn w:val="1"/>
    <w:qFormat/>
    <w:uiPriority w:val="0"/>
    <w:pPr>
      <w:widowControl/>
      <w:spacing w:before="100" w:beforeAutospacing="1" w:after="100" w:afterAutospacing="1"/>
      <w:jc w:val="left"/>
    </w:pPr>
    <w:rPr>
      <w:rFonts w:ascii="宋体" w:hAnsi="宋体" w:cs="宋体"/>
      <w:kern w:val="0"/>
      <w:sz w:val="24"/>
    </w:rPr>
  </w:style>
  <w:style w:type="paragraph" w:customStyle="1" w:styleId="129">
    <w:name w:val="xl82"/>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pPr>
    <w:rPr>
      <w:rFonts w:ascii="宋体" w:hAnsi="宋体" w:cs="宋体"/>
      <w:kern w:val="0"/>
      <w:sz w:val="18"/>
      <w:szCs w:val="18"/>
    </w:rPr>
  </w:style>
  <w:style w:type="paragraph" w:customStyle="1" w:styleId="130">
    <w:name w:val="p20"/>
    <w:basedOn w:val="1"/>
    <w:qFormat/>
    <w:uiPriority w:val="99"/>
    <w:pPr>
      <w:widowControl/>
      <w:spacing w:after="120"/>
    </w:pPr>
    <w:rPr>
      <w:kern w:val="0"/>
      <w:szCs w:val="21"/>
    </w:rPr>
  </w:style>
  <w:style w:type="paragraph" w:customStyle="1" w:styleId="131">
    <w:name w:val="段"/>
    <w:link w:val="132"/>
    <w:qFormat/>
    <w:uiPriority w:val="0"/>
    <w:pPr>
      <w:widowControl w:val="0"/>
      <w:autoSpaceDE w:val="0"/>
      <w:autoSpaceDN w:val="0"/>
      <w:adjustRightInd w:val="0"/>
      <w:spacing w:line="360" w:lineRule="atLeast"/>
      <w:ind w:firstLine="200" w:firstLineChars="200"/>
      <w:jc w:val="both"/>
    </w:pPr>
    <w:rPr>
      <w:rFonts w:ascii="宋体" w:hAnsi="宋体" w:eastAsia="宋体" w:cs="Times New Roman"/>
      <w:lang w:val="en-US" w:eastAsia="zh-CN" w:bidi="ar-SA"/>
    </w:rPr>
  </w:style>
  <w:style w:type="character" w:customStyle="1" w:styleId="132">
    <w:name w:val="段 Char Char"/>
    <w:link w:val="131"/>
    <w:qFormat/>
    <w:uiPriority w:val="0"/>
    <w:rPr>
      <w:rFonts w:ascii="宋体" w:hAnsi="宋体" w:eastAsia="宋体" w:cs="Times New Roman"/>
      <w:kern w:val="0"/>
      <w:sz w:val="20"/>
      <w:szCs w:val="20"/>
    </w:rPr>
  </w:style>
  <w:style w:type="paragraph" w:customStyle="1" w:styleId="133">
    <w:name w:val="列项——"/>
    <w:qFormat/>
    <w:uiPriority w:val="0"/>
    <w:pPr>
      <w:widowControl w:val="0"/>
      <w:tabs>
        <w:tab w:val="left" w:pos="854"/>
      </w:tabs>
      <w:jc w:val="both"/>
    </w:pPr>
    <w:rPr>
      <w:rFonts w:ascii="宋体" w:hAnsi="Times New Roman" w:eastAsia="宋体" w:cs="宋体"/>
      <w:sz w:val="21"/>
      <w:szCs w:val="21"/>
      <w:lang w:val="en-US" w:eastAsia="zh-CN" w:bidi="ar-SA"/>
    </w:rPr>
  </w:style>
  <w:style w:type="paragraph" w:customStyle="1" w:styleId="134">
    <w:name w:val="xl78"/>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pPr>
    <w:rPr>
      <w:rFonts w:ascii="宋体" w:hAnsi="宋体" w:cs="宋体"/>
      <w:kern w:val="0"/>
      <w:sz w:val="18"/>
      <w:szCs w:val="18"/>
    </w:rPr>
  </w:style>
  <w:style w:type="paragraph" w:customStyle="1" w:styleId="135">
    <w:name w:val="纯文本 + (符号) 宋体"/>
    <w:basedOn w:val="114"/>
    <w:link w:val="136"/>
    <w:qFormat/>
    <w:uiPriority w:val="0"/>
    <w:pPr>
      <w:spacing w:line="360" w:lineRule="auto"/>
      <w:ind w:firstLine="480" w:firstLineChars="200"/>
    </w:pPr>
    <w:rPr>
      <w:rFonts w:ascii="Times New Roman"/>
      <w:spacing w:val="20"/>
    </w:rPr>
  </w:style>
  <w:style w:type="character" w:customStyle="1" w:styleId="136">
    <w:name w:val="纯文本 + (符号) 宋体 Char"/>
    <w:link w:val="135"/>
    <w:qFormat/>
    <w:uiPriority w:val="0"/>
    <w:rPr>
      <w:rFonts w:ascii="Times New Roman" w:hAnsi="宋体" w:eastAsia="宋体" w:cs="Times New Roman"/>
      <w:spacing w:val="20"/>
      <w:kern w:val="0"/>
      <w:szCs w:val="21"/>
    </w:rPr>
  </w:style>
  <w:style w:type="paragraph" w:customStyle="1" w:styleId="137">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38">
    <w:name w:val="其他发布部门"/>
    <w:basedOn w:val="1"/>
    <w:qFormat/>
    <w:uiPriority w:val="0"/>
    <w:pPr>
      <w:widowControl/>
      <w:spacing w:line="0" w:lineRule="atLeast"/>
      <w:jc w:val="center"/>
    </w:pPr>
    <w:rPr>
      <w:rFonts w:ascii="黑体" w:eastAsia="黑体"/>
      <w:spacing w:val="20"/>
      <w:w w:val="135"/>
      <w:kern w:val="0"/>
      <w:sz w:val="36"/>
      <w:szCs w:val="20"/>
    </w:rPr>
  </w:style>
  <w:style w:type="paragraph" w:customStyle="1" w:styleId="139">
    <w:name w:val="p15"/>
    <w:basedOn w:val="1"/>
    <w:qFormat/>
    <w:uiPriority w:val="0"/>
    <w:pPr>
      <w:widowControl/>
      <w:jc w:val="left"/>
    </w:pPr>
    <w:rPr>
      <w:kern w:val="0"/>
      <w:sz w:val="18"/>
      <w:szCs w:val="18"/>
    </w:rPr>
  </w:style>
  <w:style w:type="paragraph" w:customStyle="1" w:styleId="140">
    <w:name w:val="一级条标题"/>
    <w:next w:val="1"/>
    <w:link w:val="232"/>
    <w:qFormat/>
    <w:uiPriority w:val="0"/>
    <w:pPr>
      <w:tabs>
        <w:tab w:val="left" w:pos="0"/>
      </w:tabs>
      <w:spacing w:beforeLines="50" w:afterLines="50"/>
      <w:ind w:left="992" w:hanging="567"/>
      <w:outlineLvl w:val="2"/>
    </w:pPr>
    <w:rPr>
      <w:rFonts w:ascii="黑体" w:hAnsi="Times New Roman" w:eastAsia="黑体" w:cs="Times New Roman"/>
      <w:sz w:val="21"/>
      <w:szCs w:val="21"/>
      <w:lang w:val="en-US" w:eastAsia="zh-CN" w:bidi="ar-SA"/>
    </w:rPr>
  </w:style>
  <w:style w:type="paragraph" w:customStyle="1" w:styleId="141">
    <w:name w:val="TOC 标题1"/>
    <w:basedOn w:val="127"/>
    <w:next w:val="1"/>
    <w:qFormat/>
    <w:uiPriority w:val="0"/>
    <w:pPr>
      <w:widowControl/>
      <w:spacing w:before="480" w:line="276" w:lineRule="auto"/>
      <w:jc w:val="left"/>
      <w:outlineLvl w:val="9"/>
    </w:pPr>
    <w:rPr>
      <w:rFonts w:ascii="Cambria" w:hAnsi="Cambria"/>
      <w:color w:val="365F91"/>
      <w:kern w:val="0"/>
      <w:sz w:val="28"/>
      <w:szCs w:val="28"/>
    </w:rPr>
  </w:style>
  <w:style w:type="paragraph" w:customStyle="1" w:styleId="142">
    <w:name w:val="p16"/>
    <w:basedOn w:val="1"/>
    <w:qFormat/>
    <w:uiPriority w:val="0"/>
    <w:pPr>
      <w:widowControl/>
      <w:pBdr>
        <w:bottom w:val="single" w:color="000000" w:sz="6" w:space="1"/>
      </w:pBdr>
      <w:jc w:val="center"/>
    </w:pPr>
    <w:rPr>
      <w:kern w:val="0"/>
      <w:sz w:val="18"/>
      <w:szCs w:val="18"/>
    </w:rPr>
  </w:style>
  <w:style w:type="paragraph" w:customStyle="1" w:styleId="143">
    <w:name w:val="p18"/>
    <w:basedOn w:val="1"/>
    <w:qFormat/>
    <w:uiPriority w:val="0"/>
    <w:pPr>
      <w:widowControl/>
      <w:jc w:val="left"/>
    </w:pPr>
    <w:rPr>
      <w:kern w:val="0"/>
      <w:sz w:val="18"/>
      <w:szCs w:val="18"/>
    </w:rPr>
  </w:style>
  <w:style w:type="paragraph" w:customStyle="1" w:styleId="144">
    <w:name w:val="正文文本3"/>
    <w:basedOn w:val="1"/>
    <w:link w:val="145"/>
    <w:qFormat/>
    <w:uiPriority w:val="0"/>
    <w:pPr>
      <w:shd w:val="clear" w:color="auto" w:fill="FFFFFF"/>
      <w:spacing w:line="466" w:lineRule="exact"/>
      <w:ind w:hanging="280"/>
      <w:jc w:val="distribute"/>
    </w:pPr>
    <w:rPr>
      <w:rFonts w:ascii="MingLiU" w:hAnsi="MingLiU" w:eastAsia="MingLiU"/>
      <w:kern w:val="0"/>
      <w:sz w:val="22"/>
      <w:szCs w:val="22"/>
      <w:shd w:val="clear" w:color="auto" w:fill="FFFFFF"/>
      <w:lang w:val="zh-TW"/>
    </w:rPr>
  </w:style>
  <w:style w:type="character" w:customStyle="1" w:styleId="145">
    <w:name w:val="正文文本_"/>
    <w:link w:val="144"/>
    <w:qFormat/>
    <w:uiPriority w:val="0"/>
    <w:rPr>
      <w:rFonts w:ascii="MingLiU" w:hAnsi="MingLiU" w:eastAsia="MingLiU" w:cs="Times New Roman"/>
      <w:kern w:val="0"/>
      <w:sz w:val="22"/>
      <w:shd w:val="clear" w:color="auto" w:fill="FFFFFF"/>
      <w:lang w:val="zh-TW"/>
    </w:rPr>
  </w:style>
  <w:style w:type="paragraph" w:customStyle="1" w:styleId="146">
    <w:name w:val="纯文本1"/>
    <w:basedOn w:val="1"/>
    <w:qFormat/>
    <w:uiPriority w:val="0"/>
    <w:rPr>
      <w:rFonts w:ascii="宋体" w:hAnsi="Courier New" w:eastAsia="方正小标宋_GBK"/>
      <w:b/>
      <w:szCs w:val="20"/>
    </w:rPr>
  </w:style>
  <w:style w:type="paragraph" w:customStyle="1" w:styleId="147">
    <w:name w:val="标题3"/>
    <w:basedOn w:val="1"/>
    <w:next w:val="1"/>
    <w:qFormat/>
    <w:uiPriority w:val="0"/>
    <w:pPr>
      <w:spacing w:before="240" w:after="60"/>
      <w:jc w:val="center"/>
      <w:outlineLvl w:val="0"/>
    </w:pPr>
    <w:rPr>
      <w:rFonts w:ascii="Cambria" w:hAnsi="Cambria" w:eastAsia="方正小标宋_GBK"/>
      <w:b/>
      <w:sz w:val="32"/>
      <w:szCs w:val="20"/>
    </w:rPr>
  </w:style>
  <w:style w:type="paragraph" w:customStyle="1" w:styleId="148">
    <w:name w:val="样式 段落 + 首行缩进:  2 字符"/>
    <w:basedOn w:val="1"/>
    <w:qFormat/>
    <w:uiPriority w:val="0"/>
    <w:pPr>
      <w:adjustRightInd w:val="0"/>
      <w:ind w:firstLine="200" w:firstLineChars="200"/>
      <w:textAlignment w:val="baseline"/>
    </w:pPr>
    <w:rPr>
      <w:rFonts w:eastAsia="华文细黑" w:cs="宋体"/>
      <w:kern w:val="0"/>
      <w:sz w:val="28"/>
      <w:szCs w:val="20"/>
    </w:rPr>
  </w:style>
  <w:style w:type="paragraph" w:customStyle="1" w:styleId="149">
    <w:name w:val="正文文本缩进 31"/>
    <w:basedOn w:val="1"/>
    <w:qFormat/>
    <w:uiPriority w:val="0"/>
    <w:pPr>
      <w:spacing w:line="500" w:lineRule="exact"/>
      <w:ind w:firstLine="723" w:firstLineChars="240"/>
    </w:pPr>
    <w:rPr>
      <w:rFonts w:ascii="楷体_GB2312" w:eastAsia="楷体_GB2312"/>
      <w:b/>
      <w:color w:val="FF0000"/>
      <w:kern w:val="0"/>
      <w:sz w:val="30"/>
      <w:szCs w:val="20"/>
    </w:rPr>
  </w:style>
  <w:style w:type="paragraph" w:customStyle="1" w:styleId="150">
    <w:name w:val="正文2"/>
    <w:qFormat/>
    <w:uiPriority w:val="0"/>
    <w:pPr>
      <w:widowControl w:val="0"/>
      <w:adjustRightInd w:val="0"/>
      <w:spacing w:line="315" w:lineRule="atLeast"/>
      <w:jc w:val="both"/>
      <w:textAlignment w:val="baseline"/>
    </w:pPr>
    <w:rPr>
      <w:rFonts w:ascii="宋体" w:hAnsi="Times New Roman" w:eastAsia="宋体" w:cs="Times New Roman"/>
      <w:sz w:val="21"/>
      <w:lang w:val="en-US" w:eastAsia="zh-CN" w:bidi="ar-SA"/>
    </w:rPr>
  </w:style>
  <w:style w:type="paragraph" w:customStyle="1" w:styleId="151">
    <w:name w:val="实施日期"/>
    <w:basedOn w:val="152"/>
    <w:qFormat/>
    <w:uiPriority w:val="0"/>
    <w:pPr>
      <w:jc w:val="right"/>
    </w:pPr>
  </w:style>
  <w:style w:type="paragraph" w:customStyle="1" w:styleId="152">
    <w:name w:val="发布日期"/>
    <w:qFormat/>
    <w:uiPriority w:val="0"/>
    <w:rPr>
      <w:rFonts w:ascii="Times New Roman" w:hAnsi="Times New Roman" w:eastAsia="黑体" w:cs="Times New Roman"/>
      <w:sz w:val="28"/>
      <w:lang w:val="en-US" w:eastAsia="zh-CN" w:bidi="ar-SA"/>
    </w:rPr>
  </w:style>
  <w:style w:type="paragraph" w:customStyle="1" w:styleId="153">
    <w:name w:val="Char1"/>
    <w:basedOn w:val="1"/>
    <w:qFormat/>
    <w:uiPriority w:val="0"/>
    <w:rPr>
      <w:szCs w:val="20"/>
    </w:rPr>
  </w:style>
  <w:style w:type="paragraph" w:customStyle="1" w:styleId="154">
    <w:name w:val="标准标志"/>
    <w:next w:val="1"/>
    <w:qFormat/>
    <w:uiPriority w:val="0"/>
    <w:pPr>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155">
    <w:name w:val="xl71"/>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top"/>
    </w:pPr>
    <w:rPr>
      <w:kern w:val="0"/>
      <w:szCs w:val="21"/>
    </w:rPr>
  </w:style>
  <w:style w:type="paragraph" w:customStyle="1" w:styleId="156">
    <w:name w:val="Char3 Char Char Char"/>
    <w:basedOn w:val="1"/>
    <w:qFormat/>
    <w:uiPriority w:val="0"/>
    <w:rPr>
      <w:sz w:val="28"/>
    </w:rPr>
  </w:style>
  <w:style w:type="paragraph" w:customStyle="1" w:styleId="157">
    <w:name w:val="正文文本缩进1"/>
    <w:basedOn w:val="1"/>
    <w:qFormat/>
    <w:uiPriority w:val="0"/>
    <w:pPr>
      <w:spacing w:line="500" w:lineRule="exact"/>
      <w:ind w:firstLine="720" w:firstLineChars="240"/>
    </w:pPr>
    <w:rPr>
      <w:rFonts w:eastAsia="楷体_GB2312"/>
      <w:kern w:val="0"/>
      <w:sz w:val="30"/>
      <w:szCs w:val="20"/>
    </w:rPr>
  </w:style>
  <w:style w:type="paragraph" w:customStyle="1" w:styleId="158">
    <w:name w:val="p19"/>
    <w:basedOn w:val="1"/>
    <w:qFormat/>
    <w:uiPriority w:val="0"/>
    <w:pPr>
      <w:widowControl/>
      <w:spacing w:after="120"/>
    </w:pPr>
    <w:rPr>
      <w:kern w:val="0"/>
      <w:szCs w:val="21"/>
    </w:rPr>
  </w:style>
  <w:style w:type="paragraph" w:customStyle="1" w:styleId="159">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160">
    <w:name w:val="xl75"/>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top"/>
    </w:pPr>
    <w:rPr>
      <w:rFonts w:ascii="Arial" w:hAnsi="Arial" w:cs="Arial"/>
      <w:kern w:val="0"/>
      <w:szCs w:val="21"/>
    </w:rPr>
  </w:style>
  <w:style w:type="paragraph" w:customStyle="1" w:styleId="161">
    <w:name w:val="xl79"/>
    <w:basedOn w:val="1"/>
    <w:qFormat/>
    <w:uiPriority w:val="0"/>
    <w:pPr>
      <w:widowControl/>
      <w:pBdr>
        <w:top w:val="single" w:color="auto" w:sz="8" w:space="0"/>
        <w:left w:val="single" w:color="auto" w:sz="8" w:space="0"/>
        <w:bottom w:val="single" w:color="auto" w:sz="8" w:space="0"/>
        <w:right w:val="single" w:color="auto" w:sz="8" w:space="0"/>
      </w:pBdr>
      <w:shd w:val="clear" w:color="000000" w:fill="FFFFFF"/>
      <w:spacing w:before="100" w:beforeAutospacing="1" w:after="100" w:afterAutospacing="1"/>
      <w:jc w:val="left"/>
    </w:pPr>
    <w:rPr>
      <w:rFonts w:ascii="宋体" w:hAnsi="宋体" w:cs="宋体"/>
      <w:color w:val="000000"/>
      <w:kern w:val="0"/>
      <w:sz w:val="18"/>
      <w:szCs w:val="18"/>
    </w:rPr>
  </w:style>
  <w:style w:type="paragraph" w:customStyle="1" w:styleId="162">
    <w:name w:val="xl84"/>
    <w:basedOn w:val="1"/>
    <w:qFormat/>
    <w:uiPriority w:val="0"/>
    <w:pPr>
      <w:widowControl/>
      <w:pBdr>
        <w:top w:val="single" w:color="auto" w:sz="8" w:space="0"/>
        <w:left w:val="single" w:color="auto" w:sz="8" w:space="0"/>
        <w:bottom w:val="single" w:color="auto" w:sz="8" w:space="0"/>
      </w:pBdr>
      <w:spacing w:before="100" w:beforeAutospacing="1" w:after="100" w:afterAutospacing="1"/>
      <w:jc w:val="center"/>
      <w:textAlignment w:val="top"/>
    </w:pPr>
    <w:rPr>
      <w:rFonts w:ascii="宋体" w:hAnsi="宋体" w:cs="宋体"/>
      <w:kern w:val="0"/>
      <w:szCs w:val="21"/>
    </w:rPr>
  </w:style>
  <w:style w:type="paragraph" w:customStyle="1" w:styleId="163">
    <w:name w:val="xl73"/>
    <w:basedOn w:val="1"/>
    <w:qFormat/>
    <w:uiPriority w:val="0"/>
    <w:pPr>
      <w:widowControl/>
      <w:spacing w:before="100" w:beforeAutospacing="1" w:after="100" w:afterAutospacing="1"/>
      <w:jc w:val="left"/>
    </w:pPr>
    <w:rPr>
      <w:rFonts w:ascii="宋体" w:hAnsi="宋体" w:cs="宋体"/>
      <w:kern w:val="0"/>
      <w:sz w:val="24"/>
    </w:rPr>
  </w:style>
  <w:style w:type="paragraph" w:customStyle="1" w:styleId="164">
    <w:name w:val="font6"/>
    <w:basedOn w:val="1"/>
    <w:qFormat/>
    <w:uiPriority w:val="0"/>
    <w:pPr>
      <w:widowControl/>
      <w:spacing w:before="100" w:beforeAutospacing="1" w:after="100" w:afterAutospacing="1"/>
      <w:jc w:val="left"/>
    </w:pPr>
    <w:rPr>
      <w:color w:val="000000"/>
      <w:kern w:val="0"/>
      <w:szCs w:val="21"/>
    </w:rPr>
  </w:style>
  <w:style w:type="paragraph" w:customStyle="1" w:styleId="165">
    <w:name w:val="reader-word-layer reader-word-s1-13"/>
    <w:basedOn w:val="1"/>
    <w:qFormat/>
    <w:uiPriority w:val="0"/>
    <w:pPr>
      <w:widowControl/>
      <w:spacing w:before="100" w:beforeAutospacing="1" w:after="100" w:afterAutospacing="1"/>
      <w:jc w:val="left"/>
    </w:pPr>
    <w:rPr>
      <w:rFonts w:ascii="宋体" w:hAnsi="宋体" w:cs="宋体"/>
      <w:kern w:val="0"/>
      <w:sz w:val="24"/>
    </w:rPr>
  </w:style>
  <w:style w:type="paragraph" w:customStyle="1" w:styleId="166">
    <w:name w:val="reader-word-layer reader-word-s1-12"/>
    <w:basedOn w:val="1"/>
    <w:qFormat/>
    <w:uiPriority w:val="0"/>
    <w:pPr>
      <w:widowControl/>
      <w:spacing w:before="100" w:beforeAutospacing="1" w:after="100" w:afterAutospacing="1"/>
      <w:jc w:val="left"/>
    </w:pPr>
    <w:rPr>
      <w:rFonts w:ascii="宋体" w:hAnsi="宋体" w:cs="宋体"/>
      <w:kern w:val="0"/>
      <w:sz w:val="24"/>
    </w:rPr>
  </w:style>
  <w:style w:type="paragraph" w:customStyle="1" w:styleId="167">
    <w:name w:val="xl86"/>
    <w:basedOn w:val="1"/>
    <w:qFormat/>
    <w:uiPriority w:val="0"/>
    <w:pPr>
      <w:widowControl/>
      <w:pBdr>
        <w:bottom w:val="single" w:color="auto" w:sz="8" w:space="0"/>
      </w:pBdr>
      <w:spacing w:before="100" w:beforeAutospacing="1" w:after="100" w:afterAutospacing="1"/>
      <w:jc w:val="center"/>
    </w:pPr>
    <w:rPr>
      <w:rFonts w:ascii="宋体" w:hAnsi="宋体" w:cs="宋体"/>
      <w:kern w:val="0"/>
      <w:sz w:val="24"/>
    </w:rPr>
  </w:style>
  <w:style w:type="paragraph" w:customStyle="1" w:styleId="168">
    <w:name w:val="xl69"/>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top"/>
    </w:pPr>
    <w:rPr>
      <w:kern w:val="0"/>
      <w:szCs w:val="21"/>
    </w:rPr>
  </w:style>
  <w:style w:type="paragraph" w:customStyle="1" w:styleId="169">
    <w:name w:val="xl72"/>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top"/>
    </w:pPr>
    <w:rPr>
      <w:kern w:val="0"/>
      <w:sz w:val="20"/>
      <w:szCs w:val="20"/>
    </w:rPr>
  </w:style>
  <w:style w:type="paragraph" w:customStyle="1" w:styleId="170">
    <w:name w:val="reader-word-layer reader-word-s1-2"/>
    <w:basedOn w:val="1"/>
    <w:qFormat/>
    <w:uiPriority w:val="0"/>
    <w:pPr>
      <w:widowControl/>
      <w:spacing w:before="100" w:beforeAutospacing="1" w:after="100" w:afterAutospacing="1"/>
      <w:jc w:val="left"/>
    </w:pPr>
    <w:rPr>
      <w:rFonts w:ascii="宋体" w:hAnsi="宋体" w:cs="宋体"/>
      <w:kern w:val="0"/>
      <w:sz w:val="24"/>
    </w:rPr>
  </w:style>
  <w:style w:type="paragraph" w:customStyle="1" w:styleId="171">
    <w:name w:val="xl77"/>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pPr>
    <w:rPr>
      <w:rFonts w:ascii="宋体" w:hAnsi="宋体" w:cs="宋体"/>
      <w:color w:val="000000"/>
      <w:kern w:val="0"/>
      <w:sz w:val="18"/>
      <w:szCs w:val="18"/>
    </w:rPr>
  </w:style>
  <w:style w:type="paragraph" w:customStyle="1" w:styleId="172">
    <w:name w:val="xl83"/>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pPr>
    <w:rPr>
      <w:rFonts w:ascii="宋体" w:hAnsi="宋体" w:cs="宋体"/>
      <w:kern w:val="0"/>
      <w:sz w:val="18"/>
      <w:szCs w:val="18"/>
    </w:rPr>
  </w:style>
  <w:style w:type="paragraph" w:customStyle="1" w:styleId="173">
    <w:name w:val="xl81"/>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pPr>
    <w:rPr>
      <w:rFonts w:ascii="宋体" w:hAnsi="宋体" w:cs="宋体"/>
      <w:kern w:val="0"/>
      <w:sz w:val="18"/>
      <w:szCs w:val="18"/>
    </w:rPr>
  </w:style>
  <w:style w:type="paragraph" w:customStyle="1" w:styleId="174">
    <w:name w:val="正文3"/>
    <w:qFormat/>
    <w:uiPriority w:val="0"/>
    <w:pPr>
      <w:widowControl w:val="0"/>
      <w:adjustRightInd w:val="0"/>
      <w:spacing w:line="315" w:lineRule="atLeast"/>
      <w:jc w:val="both"/>
      <w:textAlignment w:val="baseline"/>
    </w:pPr>
    <w:rPr>
      <w:rFonts w:ascii="宋体" w:hAnsi="Times New Roman" w:eastAsia="宋体" w:cs="Times New Roman"/>
      <w:sz w:val="21"/>
      <w:lang w:val="en-US" w:eastAsia="zh-CN" w:bidi="ar-SA"/>
    </w:rPr>
  </w:style>
  <w:style w:type="paragraph" w:customStyle="1" w:styleId="175">
    <w:name w:val="xl68"/>
    <w:basedOn w:val="1"/>
    <w:qFormat/>
    <w:uiPriority w:val="0"/>
    <w:pPr>
      <w:widowControl/>
      <w:pBdr>
        <w:top w:val="single" w:color="auto" w:sz="8" w:space="0"/>
        <w:bottom w:val="single" w:color="auto" w:sz="8" w:space="0"/>
        <w:right w:val="single" w:color="auto" w:sz="8" w:space="0"/>
      </w:pBdr>
      <w:spacing w:before="100" w:beforeAutospacing="1" w:after="100" w:afterAutospacing="1"/>
      <w:jc w:val="center"/>
      <w:textAlignment w:val="top"/>
    </w:pPr>
    <w:rPr>
      <w:rFonts w:ascii="宋体" w:hAnsi="宋体" w:cs="宋体"/>
      <w:kern w:val="0"/>
      <w:szCs w:val="21"/>
    </w:rPr>
  </w:style>
  <w:style w:type="paragraph" w:customStyle="1" w:styleId="176">
    <w:name w:val="段落"/>
    <w:basedOn w:val="1"/>
    <w:link w:val="177"/>
    <w:qFormat/>
    <w:uiPriority w:val="0"/>
    <w:pPr>
      <w:adjustRightInd w:val="0"/>
      <w:spacing w:line="360" w:lineRule="auto"/>
      <w:ind w:firstLine="567"/>
      <w:textAlignment w:val="baseline"/>
    </w:pPr>
    <w:rPr>
      <w:rFonts w:eastAsia="仿宋_GB2312"/>
      <w:sz w:val="28"/>
      <w:szCs w:val="20"/>
    </w:rPr>
  </w:style>
  <w:style w:type="character" w:customStyle="1" w:styleId="177">
    <w:name w:val="段落 Char Char"/>
    <w:link w:val="176"/>
    <w:qFormat/>
    <w:uiPriority w:val="0"/>
    <w:rPr>
      <w:rFonts w:ascii="Times New Roman" w:hAnsi="Times New Roman" w:eastAsia="仿宋_GB2312" w:cs="Times New Roman"/>
      <w:sz w:val="28"/>
      <w:szCs w:val="20"/>
    </w:rPr>
  </w:style>
  <w:style w:type="paragraph" w:customStyle="1" w:styleId="178">
    <w:name w:val="页脚2"/>
    <w:basedOn w:val="1"/>
    <w:qFormat/>
    <w:uiPriority w:val="0"/>
    <w:pPr>
      <w:tabs>
        <w:tab w:val="center" w:pos="4153"/>
        <w:tab w:val="right" w:pos="8306"/>
      </w:tabs>
      <w:snapToGrid w:val="0"/>
      <w:jc w:val="left"/>
    </w:pPr>
    <w:rPr>
      <w:sz w:val="18"/>
      <w:szCs w:val="20"/>
    </w:rPr>
  </w:style>
  <w:style w:type="paragraph" w:customStyle="1" w:styleId="179">
    <w:name w:val="批注框文本2"/>
    <w:basedOn w:val="1"/>
    <w:qFormat/>
    <w:uiPriority w:val="0"/>
    <w:rPr>
      <w:rFonts w:ascii="方正小标宋_GBK" w:hAnsi="宋体" w:eastAsia="方正小标宋_GBK"/>
      <w:b/>
      <w:sz w:val="18"/>
      <w:szCs w:val="20"/>
    </w:rPr>
  </w:style>
  <w:style w:type="paragraph" w:customStyle="1" w:styleId="180">
    <w:name w:val="日期2"/>
    <w:basedOn w:val="1"/>
    <w:next w:val="1"/>
    <w:qFormat/>
    <w:uiPriority w:val="0"/>
    <w:pPr>
      <w:ind w:left="100" w:leftChars="2500"/>
    </w:pPr>
    <w:rPr>
      <w:rFonts w:ascii="方正小标宋_GBK" w:hAnsi="宋体" w:eastAsia="方正小标宋_GBK"/>
      <w:b/>
      <w:spacing w:val="20"/>
      <w:szCs w:val="20"/>
    </w:rPr>
  </w:style>
  <w:style w:type="paragraph" w:customStyle="1" w:styleId="181">
    <w:name w:val="页眉2"/>
    <w:basedOn w:val="1"/>
    <w:qFormat/>
    <w:uiPriority w:val="0"/>
    <w:pPr>
      <w:pBdr>
        <w:bottom w:val="single" w:color="auto" w:sz="6" w:space="1"/>
      </w:pBdr>
      <w:tabs>
        <w:tab w:val="center" w:pos="4153"/>
        <w:tab w:val="right" w:pos="8306"/>
      </w:tabs>
      <w:snapToGrid w:val="0"/>
      <w:jc w:val="center"/>
    </w:pPr>
    <w:rPr>
      <w:rFonts w:ascii="方正小标宋_GBK" w:hAnsi="宋体" w:eastAsia="方正小标宋_GBK"/>
      <w:b/>
      <w:sz w:val="18"/>
      <w:szCs w:val="20"/>
    </w:rPr>
  </w:style>
  <w:style w:type="paragraph" w:customStyle="1" w:styleId="182">
    <w:name w:val="列出段落2"/>
    <w:basedOn w:val="1"/>
    <w:qFormat/>
    <w:uiPriority w:val="0"/>
    <w:pPr>
      <w:spacing w:line="360" w:lineRule="auto"/>
      <w:ind w:firstLine="420" w:firstLineChars="200"/>
    </w:pPr>
    <w:rPr>
      <w:rFonts w:ascii="Arial" w:hAnsi="Arial" w:cs="Arial"/>
      <w:szCs w:val="21"/>
    </w:rPr>
  </w:style>
  <w:style w:type="paragraph" w:customStyle="1" w:styleId="183">
    <w:name w:val="纯文本2"/>
    <w:basedOn w:val="1"/>
    <w:qFormat/>
    <w:uiPriority w:val="0"/>
    <w:rPr>
      <w:rFonts w:ascii="宋体" w:hAnsi="Courier New" w:eastAsia="方正小标宋_GBK"/>
      <w:b/>
      <w:szCs w:val="20"/>
    </w:rPr>
  </w:style>
  <w:style w:type="paragraph" w:customStyle="1" w:styleId="184">
    <w:name w:val="标题4"/>
    <w:basedOn w:val="1"/>
    <w:next w:val="1"/>
    <w:qFormat/>
    <w:uiPriority w:val="0"/>
    <w:pPr>
      <w:spacing w:before="240" w:after="60"/>
      <w:jc w:val="center"/>
      <w:outlineLvl w:val="0"/>
    </w:pPr>
    <w:rPr>
      <w:rFonts w:ascii="Cambria" w:hAnsi="Cambria" w:eastAsia="方正小标宋_GBK"/>
      <w:b/>
      <w:sz w:val="32"/>
      <w:szCs w:val="20"/>
    </w:rPr>
  </w:style>
  <w:style w:type="paragraph" w:customStyle="1" w:styleId="185">
    <w:name w:val="正文4"/>
    <w:qFormat/>
    <w:uiPriority w:val="0"/>
    <w:pPr>
      <w:widowControl w:val="0"/>
      <w:adjustRightInd w:val="0"/>
      <w:spacing w:line="315" w:lineRule="atLeast"/>
      <w:jc w:val="both"/>
      <w:textAlignment w:val="baseline"/>
    </w:pPr>
    <w:rPr>
      <w:rFonts w:ascii="宋体" w:hAnsi="Times New Roman" w:eastAsia="宋体" w:cs="Times New Roman"/>
      <w:sz w:val="21"/>
      <w:lang w:val="en-US" w:eastAsia="zh-CN" w:bidi="ar-SA"/>
    </w:rPr>
  </w:style>
  <w:style w:type="character" w:customStyle="1" w:styleId="186">
    <w:name w:val="纯文本 Char1"/>
    <w:qFormat/>
    <w:uiPriority w:val="0"/>
    <w:rPr>
      <w:rFonts w:hint="eastAsia" w:ascii="宋体" w:hAnsi="Courier New" w:eastAsia="宋体"/>
      <w:sz w:val="21"/>
    </w:rPr>
  </w:style>
  <w:style w:type="character" w:customStyle="1" w:styleId="187">
    <w:name w:val="访问过的超链接1"/>
    <w:qFormat/>
    <w:uiPriority w:val="0"/>
    <w:rPr>
      <w:color w:val="800080"/>
      <w:u w:val="single"/>
    </w:rPr>
  </w:style>
  <w:style w:type="character" w:customStyle="1" w:styleId="188">
    <w:name w:val="正文文本缩进 3 Char1"/>
    <w:qFormat/>
    <w:uiPriority w:val="0"/>
    <w:rPr>
      <w:rFonts w:hint="eastAsia" w:ascii="宋体" w:hAnsi="宋体" w:eastAsia="宋体" w:cs="Times New Roman"/>
      <w:sz w:val="16"/>
      <w:szCs w:val="16"/>
    </w:rPr>
  </w:style>
  <w:style w:type="character" w:customStyle="1" w:styleId="189">
    <w:name w:val="文档结构图 Char1"/>
    <w:qFormat/>
    <w:uiPriority w:val="0"/>
    <w:rPr>
      <w:rFonts w:hint="eastAsia" w:ascii="宋体" w:hAnsi="宋体" w:eastAsia="宋体" w:cs="Times New Roman"/>
      <w:sz w:val="18"/>
      <w:szCs w:val="18"/>
    </w:rPr>
  </w:style>
  <w:style w:type="character" w:customStyle="1" w:styleId="190">
    <w:name w:val="A0"/>
    <w:qFormat/>
    <w:uiPriority w:val="0"/>
    <w:rPr>
      <w:rFonts w:cs=".."/>
      <w:color w:val="000000"/>
      <w:sz w:val="22"/>
      <w:szCs w:val="22"/>
    </w:rPr>
  </w:style>
  <w:style w:type="character" w:customStyle="1" w:styleId="191">
    <w:name w:val="标题 Char1"/>
    <w:qFormat/>
    <w:uiPriority w:val="0"/>
    <w:rPr>
      <w:rFonts w:ascii="Calibri Light" w:hAnsi="Calibri Light" w:cs="Times New Roman"/>
      <w:b/>
      <w:bCs/>
      <w:kern w:val="2"/>
      <w:sz w:val="32"/>
      <w:szCs w:val="32"/>
    </w:rPr>
  </w:style>
  <w:style w:type="character" w:customStyle="1" w:styleId="192">
    <w:name w:val="Footer Char"/>
    <w:qFormat/>
    <w:uiPriority w:val="0"/>
    <w:rPr>
      <w:sz w:val="18"/>
    </w:rPr>
  </w:style>
  <w:style w:type="character" w:customStyle="1" w:styleId="193">
    <w:name w:val="正文文本缩进 2 Char1"/>
    <w:qFormat/>
    <w:uiPriority w:val="0"/>
    <w:rPr>
      <w:rFonts w:hint="eastAsia" w:ascii="宋体" w:hAnsi="宋体" w:eastAsia="宋体"/>
      <w:kern w:val="2"/>
      <w:sz w:val="21"/>
      <w:szCs w:val="22"/>
    </w:rPr>
  </w:style>
  <w:style w:type="character" w:customStyle="1" w:styleId="194">
    <w:name w:val="日期 Char1"/>
    <w:qFormat/>
    <w:uiPriority w:val="0"/>
    <w:rPr>
      <w:rFonts w:hint="eastAsia" w:ascii="宋体" w:hAnsi="宋体" w:eastAsia="宋体" w:cs="Times New Roman"/>
    </w:rPr>
  </w:style>
  <w:style w:type="character" w:customStyle="1" w:styleId="195">
    <w:name w:val="font01"/>
    <w:qFormat/>
    <w:uiPriority w:val="0"/>
    <w:rPr>
      <w:rFonts w:hint="eastAsia" w:ascii="宋体" w:hAnsi="宋体" w:eastAsia="宋体"/>
      <w:color w:val="000000"/>
      <w:sz w:val="24"/>
      <w:szCs w:val="24"/>
      <w:u w:val="none"/>
    </w:rPr>
  </w:style>
  <w:style w:type="character" w:customStyle="1" w:styleId="196">
    <w:name w:val="页眉 Char1"/>
    <w:qFormat/>
    <w:uiPriority w:val="0"/>
    <w:rPr>
      <w:rFonts w:hint="eastAsia" w:ascii="宋体" w:hAnsi="宋体" w:eastAsia="宋体" w:cs="Times New Roman"/>
      <w:sz w:val="18"/>
      <w:szCs w:val="18"/>
    </w:rPr>
  </w:style>
  <w:style w:type="character" w:customStyle="1" w:styleId="197">
    <w:name w:val="表格题注 Char Char"/>
    <w:qFormat/>
    <w:uiPriority w:val="0"/>
    <w:rPr>
      <w:rFonts w:hint="default" w:ascii="Arial" w:hAnsi="Arial" w:cs="Times New Roman"/>
      <w:b/>
      <w:bCs/>
      <w:szCs w:val="32"/>
    </w:rPr>
  </w:style>
  <w:style w:type="character" w:customStyle="1" w:styleId="198">
    <w:name w:val="Body Text Indent Char"/>
    <w:qFormat/>
    <w:uiPriority w:val="0"/>
    <w:rPr>
      <w:rFonts w:ascii="宋体"/>
      <w:sz w:val="24"/>
    </w:rPr>
  </w:style>
  <w:style w:type="character" w:customStyle="1" w:styleId="199">
    <w:name w:val="发布"/>
    <w:qFormat/>
    <w:uiPriority w:val="0"/>
    <w:rPr>
      <w:rFonts w:ascii="黑体" w:eastAsia="黑体"/>
      <w:spacing w:val="22"/>
      <w:w w:val="100"/>
      <w:position w:val="3"/>
      <w:sz w:val="28"/>
    </w:rPr>
  </w:style>
  <w:style w:type="character" w:customStyle="1" w:styleId="200">
    <w:name w:val="纯文本 Char2"/>
    <w:qFormat/>
    <w:uiPriority w:val="0"/>
    <w:rPr>
      <w:rFonts w:ascii="宋体" w:hAnsi="Courier New" w:cs="Courier New"/>
      <w:kern w:val="2"/>
      <w:sz w:val="21"/>
      <w:szCs w:val="21"/>
    </w:rPr>
  </w:style>
  <w:style w:type="character" w:customStyle="1" w:styleId="201">
    <w:name w:val="页脚 Char1"/>
    <w:qFormat/>
    <w:uiPriority w:val="0"/>
    <w:rPr>
      <w:rFonts w:hint="eastAsia" w:ascii="宋体" w:hAnsi="宋体" w:eastAsia="宋体" w:cs="Times New Roman"/>
      <w:sz w:val="18"/>
      <w:szCs w:val="18"/>
    </w:rPr>
  </w:style>
  <w:style w:type="character" w:customStyle="1" w:styleId="202">
    <w:name w:val="正文文本缩进 Char1"/>
    <w:qFormat/>
    <w:uiPriority w:val="0"/>
    <w:rPr>
      <w:rFonts w:hint="eastAsia" w:ascii="宋体" w:hAnsi="宋体" w:eastAsia="宋体"/>
      <w:kern w:val="2"/>
      <w:sz w:val="21"/>
      <w:szCs w:val="22"/>
    </w:rPr>
  </w:style>
  <w:style w:type="character" w:customStyle="1" w:styleId="203">
    <w:name w:val="批注框文本 Char1"/>
    <w:qFormat/>
    <w:uiPriority w:val="0"/>
    <w:rPr>
      <w:rFonts w:hint="eastAsia" w:ascii="宋体" w:hAnsi="宋体" w:eastAsia="宋体" w:cs="Times New Roman"/>
      <w:sz w:val="18"/>
      <w:szCs w:val="18"/>
    </w:rPr>
  </w:style>
  <w:style w:type="character" w:customStyle="1" w:styleId="204">
    <w:name w:val="表格文字 Char Char"/>
    <w:qFormat/>
    <w:uiPriority w:val="0"/>
    <w:rPr>
      <w:rFonts w:hint="eastAsia" w:ascii="汉仪书宋二简" w:hAnsi="宋体" w:eastAsia="汉仪书宋二简" w:cs="Times New Roman"/>
      <w:sz w:val="18"/>
      <w:szCs w:val="18"/>
    </w:rPr>
  </w:style>
  <w:style w:type="character" w:customStyle="1" w:styleId="205">
    <w:name w:val="占位符文本1"/>
    <w:qFormat/>
    <w:uiPriority w:val="0"/>
    <w:rPr>
      <w:color w:val="808080"/>
    </w:rPr>
  </w:style>
  <w:style w:type="character" w:customStyle="1" w:styleId="206">
    <w:name w:val="ask-title"/>
    <w:qFormat/>
    <w:uiPriority w:val="0"/>
  </w:style>
  <w:style w:type="character" w:customStyle="1" w:styleId="207">
    <w:name w:val="批注框文本 Char Char Char Char"/>
    <w:qFormat/>
    <w:locked/>
    <w:uiPriority w:val="0"/>
    <w:rPr>
      <w:rFonts w:ascii="Arial" w:hAnsi="Arial" w:cs="Arial"/>
      <w:kern w:val="2"/>
      <w:sz w:val="18"/>
      <w:szCs w:val="18"/>
    </w:rPr>
  </w:style>
  <w:style w:type="character" w:customStyle="1" w:styleId="208">
    <w:name w:val="段 Char"/>
    <w:qFormat/>
    <w:locked/>
    <w:uiPriority w:val="0"/>
    <w:rPr>
      <w:rFonts w:ascii="宋体" w:hAnsi="宋体"/>
      <w:lang w:val="en-US" w:eastAsia="zh-CN" w:bidi="ar-SA"/>
    </w:rPr>
  </w:style>
  <w:style w:type="character" w:customStyle="1" w:styleId="209">
    <w:name w:val="表名 Char"/>
    <w:qFormat/>
    <w:uiPriority w:val="0"/>
    <w:rPr>
      <w:rFonts w:ascii="黑体" w:hAnsi="黑体" w:eastAsia="黑体"/>
      <w:b/>
      <w:kern w:val="2"/>
      <w:sz w:val="21"/>
      <w:szCs w:val="24"/>
    </w:rPr>
  </w:style>
  <w:style w:type="character" w:customStyle="1" w:styleId="210">
    <w:name w:val="段落 Char"/>
    <w:qFormat/>
    <w:uiPriority w:val="0"/>
    <w:rPr>
      <w:rFonts w:eastAsia="仿宋_GB2312"/>
      <w:sz w:val="28"/>
    </w:rPr>
  </w:style>
  <w:style w:type="character" w:customStyle="1" w:styleId="211">
    <w:name w:val="标题 1 Char1"/>
    <w:qFormat/>
    <w:uiPriority w:val="0"/>
    <w:rPr>
      <w:b/>
      <w:bCs/>
      <w:kern w:val="44"/>
      <w:sz w:val="44"/>
      <w:szCs w:val="44"/>
    </w:rPr>
  </w:style>
  <w:style w:type="character" w:customStyle="1" w:styleId="212">
    <w:name w:val="批注框文本 Char2"/>
    <w:qFormat/>
    <w:locked/>
    <w:uiPriority w:val="99"/>
    <w:rPr>
      <w:rFonts w:ascii="Arial" w:hAnsi="Arial" w:cs="Arial"/>
      <w:kern w:val="2"/>
      <w:sz w:val="18"/>
      <w:szCs w:val="18"/>
    </w:rPr>
  </w:style>
  <w:style w:type="character" w:customStyle="1" w:styleId="213">
    <w:name w:val="标题 Char2"/>
    <w:qFormat/>
    <w:locked/>
    <w:uiPriority w:val="10"/>
    <w:rPr>
      <w:rFonts w:ascii="宋体" w:hAnsi="宋体" w:eastAsia="宋体" w:cs="Times New Roman"/>
      <w:bCs/>
      <w:kern w:val="0"/>
      <w:szCs w:val="32"/>
    </w:rPr>
  </w:style>
  <w:style w:type="character" w:customStyle="1" w:styleId="214">
    <w:name w:val="Char Char6"/>
    <w:qFormat/>
    <w:uiPriority w:val="0"/>
    <w:rPr>
      <w:rFonts w:ascii="Arial" w:hAnsi="Arial"/>
      <w:kern w:val="2"/>
      <w:sz w:val="18"/>
    </w:rPr>
  </w:style>
  <w:style w:type="character" w:customStyle="1" w:styleId="215">
    <w:name w:val="font21"/>
    <w:qFormat/>
    <w:uiPriority w:val="0"/>
    <w:rPr>
      <w:rFonts w:hint="default" w:ascii="Times New Roman" w:hAnsi="Times New Roman" w:cs="Times New Roman"/>
      <w:b/>
      <w:bCs/>
      <w:color w:val="000000"/>
      <w:sz w:val="18"/>
      <w:szCs w:val="18"/>
      <w:u w:val="none"/>
    </w:rPr>
  </w:style>
  <w:style w:type="character" w:customStyle="1" w:styleId="216">
    <w:name w:val="font31"/>
    <w:qFormat/>
    <w:uiPriority w:val="0"/>
    <w:rPr>
      <w:rFonts w:hint="default" w:ascii="Times New Roman" w:hAnsi="Times New Roman" w:cs="Times New Roman"/>
      <w:color w:val="000000"/>
      <w:sz w:val="18"/>
      <w:szCs w:val="18"/>
      <w:u w:val="none"/>
    </w:rPr>
  </w:style>
  <w:style w:type="character" w:customStyle="1" w:styleId="217">
    <w:name w:val="font41"/>
    <w:qFormat/>
    <w:uiPriority w:val="0"/>
    <w:rPr>
      <w:rFonts w:hint="eastAsia" w:ascii="宋体" w:hAnsi="宋体" w:eastAsia="宋体"/>
      <w:color w:val="000000"/>
      <w:sz w:val="18"/>
      <w:szCs w:val="18"/>
      <w:u w:val="none"/>
    </w:rPr>
  </w:style>
  <w:style w:type="character" w:customStyle="1" w:styleId="218">
    <w:name w:val="Char Char61"/>
    <w:unhideWhenUsed/>
    <w:qFormat/>
    <w:uiPriority w:val="0"/>
    <w:rPr>
      <w:rFonts w:hint="default" w:ascii="Arial"/>
      <w:kern w:val="2"/>
      <w:sz w:val="18"/>
    </w:rPr>
  </w:style>
  <w:style w:type="character" w:customStyle="1" w:styleId="219">
    <w:name w:val="标题 1 Char2"/>
    <w:qFormat/>
    <w:locked/>
    <w:uiPriority w:val="0"/>
    <w:rPr>
      <w:rFonts w:ascii="宋体" w:hAnsi="宋体"/>
      <w:b/>
      <w:bCs/>
      <w:kern w:val="44"/>
      <w:sz w:val="32"/>
      <w:szCs w:val="44"/>
    </w:rPr>
  </w:style>
  <w:style w:type="paragraph" w:customStyle="1" w:styleId="220">
    <w:name w:val="样式"/>
    <w:next w:val="1"/>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221">
    <w:name w:val="标题 Char21"/>
    <w:qFormat/>
    <w:uiPriority w:val="0"/>
    <w:rPr>
      <w:rFonts w:ascii="Calibri Light"/>
      <w:b/>
      <w:kern w:val="2"/>
      <w:sz w:val="32"/>
    </w:rPr>
  </w:style>
  <w:style w:type="paragraph" w:customStyle="1" w:styleId="222">
    <w:name w:val="TOC 标题2"/>
    <w:basedOn w:val="2"/>
    <w:next w:val="1"/>
    <w:unhideWhenUsed/>
    <w:qFormat/>
    <w:uiPriority w:val="39"/>
    <w:pPr>
      <w:keepLines/>
      <w:spacing w:before="340" w:after="330" w:line="578" w:lineRule="auto"/>
      <w:jc w:val="both"/>
      <w:outlineLvl w:val="9"/>
    </w:pPr>
    <w:rPr>
      <w:kern w:val="44"/>
      <w:sz w:val="44"/>
      <w:szCs w:val="44"/>
    </w:rPr>
  </w:style>
  <w:style w:type="character" w:customStyle="1" w:styleId="223">
    <w:name w:val="标题 2 Char1"/>
    <w:basedOn w:val="39"/>
    <w:semiHidden/>
    <w:qFormat/>
    <w:uiPriority w:val="0"/>
    <w:rPr>
      <w:rFonts w:hint="default" w:asciiTheme="majorHAnsi" w:hAnsiTheme="majorHAnsi" w:eastAsiaTheme="majorEastAsia" w:cstheme="majorBidi"/>
      <w:b/>
      <w:bCs/>
      <w:kern w:val="2"/>
      <w:sz w:val="32"/>
      <w:szCs w:val="32"/>
    </w:rPr>
  </w:style>
  <w:style w:type="character" w:customStyle="1" w:styleId="224">
    <w:name w:val="标题 3 Char1"/>
    <w:basedOn w:val="39"/>
    <w:semiHidden/>
    <w:qFormat/>
    <w:uiPriority w:val="9"/>
    <w:rPr>
      <w:rFonts w:hint="eastAsia" w:ascii="宋体" w:hAnsi="宋体" w:eastAsia="宋体" w:cs="Times New Roman"/>
      <w:b/>
      <w:bCs/>
      <w:kern w:val="2"/>
      <w:sz w:val="32"/>
      <w:szCs w:val="32"/>
    </w:rPr>
  </w:style>
  <w:style w:type="character" w:customStyle="1" w:styleId="225">
    <w:name w:val="标题 4 Char1"/>
    <w:basedOn w:val="39"/>
    <w:semiHidden/>
    <w:qFormat/>
    <w:uiPriority w:val="0"/>
    <w:rPr>
      <w:rFonts w:hint="default" w:asciiTheme="majorHAnsi" w:hAnsiTheme="majorHAnsi" w:eastAsiaTheme="majorEastAsia" w:cstheme="majorBidi"/>
      <w:b/>
      <w:bCs/>
      <w:kern w:val="2"/>
      <w:sz w:val="28"/>
      <w:szCs w:val="28"/>
    </w:rPr>
  </w:style>
  <w:style w:type="character" w:customStyle="1" w:styleId="226">
    <w:name w:val="标题 5 Char1"/>
    <w:basedOn w:val="39"/>
    <w:semiHidden/>
    <w:qFormat/>
    <w:uiPriority w:val="0"/>
    <w:rPr>
      <w:rFonts w:hint="eastAsia" w:ascii="宋体" w:hAnsi="宋体" w:eastAsia="宋体" w:cs="Times New Roman"/>
      <w:b/>
      <w:bCs/>
      <w:kern w:val="2"/>
      <w:sz w:val="28"/>
      <w:szCs w:val="28"/>
    </w:rPr>
  </w:style>
  <w:style w:type="character" w:customStyle="1" w:styleId="227">
    <w:name w:val="标题 6 Char1"/>
    <w:basedOn w:val="39"/>
    <w:semiHidden/>
    <w:qFormat/>
    <w:uiPriority w:val="0"/>
    <w:rPr>
      <w:rFonts w:hint="default" w:asciiTheme="majorHAnsi" w:hAnsiTheme="majorHAnsi" w:eastAsiaTheme="majorEastAsia" w:cstheme="majorBidi"/>
      <w:b/>
      <w:bCs/>
      <w:kern w:val="2"/>
      <w:sz w:val="24"/>
      <w:szCs w:val="24"/>
    </w:rPr>
  </w:style>
  <w:style w:type="character" w:customStyle="1" w:styleId="228">
    <w:name w:val="标题 7 Char1"/>
    <w:basedOn w:val="39"/>
    <w:semiHidden/>
    <w:qFormat/>
    <w:uiPriority w:val="0"/>
    <w:rPr>
      <w:rFonts w:hint="eastAsia" w:ascii="宋体" w:hAnsi="宋体" w:eastAsia="宋体" w:cs="Times New Roman"/>
      <w:b/>
      <w:bCs/>
      <w:kern w:val="2"/>
      <w:sz w:val="24"/>
      <w:szCs w:val="24"/>
    </w:rPr>
  </w:style>
  <w:style w:type="character" w:customStyle="1" w:styleId="229">
    <w:name w:val="标题 8 Char1"/>
    <w:basedOn w:val="39"/>
    <w:semiHidden/>
    <w:qFormat/>
    <w:uiPriority w:val="0"/>
    <w:rPr>
      <w:rFonts w:hint="default" w:asciiTheme="majorHAnsi" w:hAnsiTheme="majorHAnsi" w:eastAsiaTheme="majorEastAsia" w:cstheme="majorBidi"/>
      <w:kern w:val="2"/>
      <w:sz w:val="24"/>
      <w:szCs w:val="24"/>
    </w:rPr>
  </w:style>
  <w:style w:type="character" w:customStyle="1" w:styleId="230">
    <w:name w:val="标题 9 Char1"/>
    <w:basedOn w:val="39"/>
    <w:semiHidden/>
    <w:qFormat/>
    <w:uiPriority w:val="0"/>
    <w:rPr>
      <w:rFonts w:hint="default" w:asciiTheme="majorHAnsi" w:hAnsiTheme="majorHAnsi" w:eastAsiaTheme="majorEastAsia" w:cstheme="majorBidi"/>
      <w:kern w:val="2"/>
      <w:sz w:val="21"/>
      <w:szCs w:val="21"/>
    </w:rPr>
  </w:style>
  <w:style w:type="character" w:customStyle="1" w:styleId="231">
    <w:name w:val="样式1 Char Char"/>
    <w:link w:val="60"/>
    <w:qFormat/>
    <w:locked/>
    <w:uiPriority w:val="0"/>
    <w:rPr>
      <w:rFonts w:ascii="EU-F1" w:hAnsi="Times New Roman" w:eastAsia="黑体" w:cs="Times New Roman"/>
      <w:szCs w:val="21"/>
    </w:rPr>
  </w:style>
  <w:style w:type="character" w:customStyle="1" w:styleId="232">
    <w:name w:val="一级条标题 Char Char"/>
    <w:link w:val="140"/>
    <w:qFormat/>
    <w:locked/>
    <w:uiPriority w:val="0"/>
    <w:rPr>
      <w:rFonts w:ascii="黑体" w:hAnsi="Times New Roman" w:eastAsia="黑体" w:cs="Times New Roman"/>
      <w:kern w:val="0"/>
      <w:szCs w:val="21"/>
    </w:rPr>
  </w:style>
  <w:style w:type="paragraph" w:customStyle="1" w:styleId="233">
    <w:name w:val="表头A"/>
    <w:basedOn w:val="61"/>
    <w:qFormat/>
    <w:uiPriority w:val="0"/>
    <w:rPr>
      <w:kern w:val="21"/>
      <w:sz w:val="20"/>
    </w:rPr>
  </w:style>
  <w:style w:type="paragraph" w:customStyle="1" w:styleId="234">
    <w:name w:val="二级条标题"/>
    <w:basedOn w:val="140"/>
    <w:next w:val="131"/>
    <w:qFormat/>
    <w:uiPriority w:val="0"/>
    <w:pPr>
      <w:tabs>
        <w:tab w:val="clear" w:pos="0"/>
      </w:tabs>
      <w:spacing w:beforeLines="0" w:afterLines="0"/>
      <w:ind w:left="1260" w:hanging="420"/>
      <w:outlineLvl w:val="3"/>
    </w:pPr>
    <w:rPr>
      <w:rFonts w:hint="eastAsia"/>
    </w:rPr>
  </w:style>
  <w:style w:type="paragraph" w:customStyle="1" w:styleId="235">
    <w:name w:val="章标题"/>
    <w:next w:val="131"/>
    <w:qFormat/>
    <w:uiPriority w:val="0"/>
    <w:pPr>
      <w:spacing w:beforeLines="100"/>
      <w:ind w:left="420" w:hanging="420"/>
      <w:jc w:val="both"/>
      <w:outlineLvl w:val="1"/>
    </w:pPr>
    <w:rPr>
      <w:rFonts w:ascii="黑体" w:hAnsi="Times New Roman" w:eastAsia="黑体" w:cs="Times New Roman"/>
      <w:sz w:val="21"/>
      <w:lang w:val="en-US" w:eastAsia="zh-CN" w:bidi="ar-SA"/>
    </w:rPr>
  </w:style>
  <w:style w:type="paragraph" w:customStyle="1" w:styleId="236">
    <w:name w:val="三级条标题"/>
    <w:basedOn w:val="234"/>
    <w:next w:val="131"/>
    <w:qFormat/>
    <w:uiPriority w:val="0"/>
    <w:pPr>
      <w:ind w:left="1680"/>
      <w:outlineLvl w:val="4"/>
    </w:pPr>
  </w:style>
  <w:style w:type="paragraph" w:customStyle="1" w:styleId="237">
    <w:name w:val="列表段落1"/>
    <w:basedOn w:val="1"/>
    <w:qFormat/>
    <w:uiPriority w:val="34"/>
    <w:pPr>
      <w:ind w:firstLine="420" w:firstLineChars="200"/>
    </w:pPr>
  </w:style>
  <w:style w:type="paragraph" w:customStyle="1" w:styleId="238">
    <w:name w:val="列出段落3"/>
    <w:basedOn w:val="1"/>
    <w:qFormat/>
    <w:uiPriority w:val="34"/>
    <w:pPr>
      <w:ind w:firstLine="420" w:firstLineChars="200"/>
    </w:pPr>
  </w:style>
  <w:style w:type="table" w:customStyle="1" w:styleId="239">
    <w:name w:val="Table Normal"/>
    <w:semiHidden/>
    <w:unhideWhenUsed/>
    <w:qFormat/>
    <w:uiPriority w:val="0"/>
    <w:rPr>
      <w:rFonts w:ascii="Arial" w:hAnsi="Arial" w:cs="Arial" w:eastAsiaTheme="minorEastAsia"/>
    </w:rPr>
    <w:tblPr>
      <w:tblCellMar>
        <w:top w:w="0" w:type="dxa"/>
        <w:left w:w="0" w:type="dxa"/>
        <w:bottom w:w="0" w:type="dxa"/>
        <w:right w:w="0" w:type="dxa"/>
      </w:tblCellMar>
    </w:tblPr>
  </w:style>
  <w:style w:type="paragraph" w:customStyle="1" w:styleId="240">
    <w:name w:val="Table Text"/>
    <w:basedOn w:val="1"/>
    <w:semiHidden/>
    <w:qFormat/>
    <w:uiPriority w:val="0"/>
    <w:pPr>
      <w:widowControl/>
      <w:kinsoku w:val="0"/>
      <w:autoSpaceDE w:val="0"/>
      <w:autoSpaceDN w:val="0"/>
      <w:adjustRightInd w:val="0"/>
      <w:snapToGrid w:val="0"/>
      <w:jc w:val="left"/>
      <w:textAlignment w:val="baseline"/>
    </w:pPr>
    <w:rPr>
      <w:rFonts w:ascii="宋体" w:hAnsi="宋体" w:cs="宋体"/>
      <w:snapToGrid w:val="0"/>
      <w:color w:val="000000"/>
      <w:kern w:val="0"/>
      <w:sz w:val="24"/>
      <w:lang w:eastAsia="en-US"/>
    </w:rPr>
  </w:style>
  <w:style w:type="paragraph" w:styleId="241">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4CCEB1-955E-44AC-AEB2-E000D7C7BB2E}">
  <ds:schemaRefs/>
</ds:datastoreItem>
</file>

<file path=docProps/app.xml><?xml version="1.0" encoding="utf-8"?>
<Properties xmlns="http://schemas.openxmlformats.org/officeDocument/2006/extended-properties" xmlns:vt="http://schemas.openxmlformats.org/officeDocument/2006/docPropsVTypes">
  <Template>Normal</Template>
  <Company>jngd</Company>
  <Pages>9</Pages>
  <Words>4605</Words>
  <Characters>5130</Characters>
  <Lines>44</Lines>
  <Paragraphs>12</Paragraphs>
  <TotalTime>0</TotalTime>
  <ScaleCrop>false</ScaleCrop>
  <LinksUpToDate>false</LinksUpToDate>
  <CharactersWithSpaces>5404</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2015-03-04T08:57:00Z</dcterms:created>
  <dc:creator>wuzx</dc:creator>
  <cp:lastModifiedBy>Jimmy</cp:lastModifiedBy>
  <cp:lastPrinted>2016-03-16T00:55:00Z</cp:lastPrinted>
  <dcterms:modified xsi:type="dcterms:W3CDTF">2025-03-19T07:33:50Z</dcterms:modified>
  <cp:revision>166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7C0900F6F4DE4FDE9053C27B47FDBB27_13</vt:lpwstr>
  </property>
  <property fmtid="{D5CDD505-2E9C-101B-9397-08002B2CF9AE}" pid="4" name="KSOTemplateDocerSaveRecord">
    <vt:lpwstr>eyJoZGlkIjoiMzEwNTM5NzYwMDRjMzkwZTVkZjY2ODkwMGIxNGU0OTUiLCJ1c2VySWQiOiIyMjkxODkxMDUifQ==</vt:lpwstr>
  </property>
</Properties>
</file>