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408C0BDE">
      <w:pPr>
        <w:spacing w:line="360" w:lineRule="auto"/>
        <w:ind w:firstLine="261" w:firstLineChars="50"/>
        <w:jc w:val="center"/>
        <w:rPr>
          <w:rFonts w:ascii="宋体"/>
          <w:b/>
          <w:sz w:val="52"/>
        </w:rPr>
      </w:pPr>
      <w:r>
        <w:rPr>
          <w:rFonts w:hint="eastAsia" w:ascii="宋体" w:hAnsi="宋体"/>
          <w:b/>
          <w:sz w:val="52"/>
        </w:rPr>
        <w:t>变压器用绕组线集中招标采购</w:t>
      </w:r>
    </w:p>
    <w:p w14:paraId="24232C16">
      <w:pPr>
        <w:spacing w:line="360" w:lineRule="auto"/>
        <w:jc w:val="center"/>
        <w:rPr>
          <w:rFonts w:hint="eastAsia" w:ascii="宋体" w:hAnsi="宋体"/>
          <w:b/>
          <w:sz w:val="48"/>
          <w:szCs w:val="48"/>
          <w:u w:val="single"/>
        </w:rPr>
      </w:pPr>
    </w:p>
    <w:p w14:paraId="3517EFCE">
      <w:pPr>
        <w:spacing w:line="360" w:lineRule="auto"/>
        <w:jc w:val="center"/>
        <w:rPr>
          <w:rFonts w:ascii="宋体"/>
          <w:b/>
          <w:sz w:val="48"/>
          <w:szCs w:val="48"/>
        </w:rPr>
      </w:pPr>
    </w:p>
    <w:p w14:paraId="613F0965">
      <w:pPr>
        <w:spacing w:line="360" w:lineRule="auto"/>
        <w:jc w:val="center"/>
        <w:rPr>
          <w:rFonts w:hint="eastAsia" w:ascii="宋体" w:hAnsi="宋体"/>
          <w:b/>
          <w:sz w:val="48"/>
          <w:szCs w:val="48"/>
        </w:rPr>
      </w:pPr>
      <w:r>
        <w:rPr>
          <w:rFonts w:hint="eastAsia" w:ascii="宋体" w:hAnsi="宋体"/>
          <w:b/>
          <w:sz w:val="48"/>
          <w:szCs w:val="48"/>
        </w:rPr>
        <w:t>漆包铜扁绕组线</w:t>
      </w:r>
    </w:p>
    <w:p w14:paraId="648381A1">
      <w:pPr>
        <w:spacing w:line="360" w:lineRule="auto"/>
        <w:jc w:val="center"/>
        <w:rPr>
          <w:rFonts w:hint="eastAsia" w:ascii="宋体" w:hAnsi="宋体"/>
          <w:b/>
          <w:sz w:val="48"/>
          <w:szCs w:val="48"/>
        </w:rPr>
      </w:pPr>
    </w:p>
    <w:p w14:paraId="484D0691">
      <w:pPr>
        <w:spacing w:line="360" w:lineRule="auto"/>
        <w:jc w:val="center"/>
        <w:rPr>
          <w:rFonts w:ascii="宋体"/>
          <w:b/>
          <w:sz w:val="48"/>
          <w:szCs w:val="48"/>
        </w:rPr>
      </w:pPr>
      <w:r>
        <w:rPr>
          <w:rFonts w:hint="eastAsia" w:ascii="宋体"/>
          <w:b/>
          <w:sz w:val="48"/>
          <w:szCs w:val="48"/>
        </w:rPr>
        <w:t>技</w:t>
      </w:r>
    </w:p>
    <w:p w14:paraId="07FD8E2B">
      <w:pPr>
        <w:spacing w:line="360" w:lineRule="auto"/>
        <w:jc w:val="center"/>
        <w:rPr>
          <w:rFonts w:ascii="宋体"/>
          <w:b/>
          <w:sz w:val="48"/>
          <w:szCs w:val="48"/>
        </w:rPr>
      </w:pPr>
      <w:r>
        <w:rPr>
          <w:rFonts w:hint="eastAsia" w:ascii="宋体"/>
          <w:b/>
          <w:sz w:val="48"/>
          <w:szCs w:val="48"/>
        </w:rPr>
        <w:t>术</w:t>
      </w:r>
    </w:p>
    <w:p w14:paraId="1AED3D38">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1E98E8B4">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7CF68BA9">
      <w:pPr>
        <w:spacing w:line="360" w:lineRule="auto"/>
        <w:jc w:val="center"/>
        <w:rPr>
          <w:rFonts w:ascii="宋体"/>
          <w:b/>
          <w:sz w:val="48"/>
          <w:szCs w:val="48"/>
        </w:rPr>
      </w:pPr>
      <w:r>
        <w:rPr>
          <w:rFonts w:hint="eastAsia" w:ascii="宋体"/>
          <w:b/>
          <w:sz w:val="48"/>
          <w:szCs w:val="48"/>
          <w:lang w:val="en-US" w:eastAsia="zh-CN"/>
        </w:rPr>
        <w:t>书</w:t>
      </w:r>
    </w:p>
    <w:p w14:paraId="7C17E2E2">
      <w:pPr>
        <w:jc w:val="center"/>
        <w:rPr>
          <w:rFonts w:hint="eastAsia" w:ascii="宋体" w:hAnsi="宋体"/>
          <w:b/>
          <w:sz w:val="48"/>
          <w:szCs w:val="48"/>
        </w:rPr>
      </w:pPr>
    </w:p>
    <w:p w14:paraId="7D2FD3DC">
      <w:pPr>
        <w:jc w:val="center"/>
        <w:rPr>
          <w:rFonts w:hint="eastAsia" w:ascii="宋体" w:hAnsi="宋体" w:cs="宋体"/>
          <w:sz w:val="22"/>
          <w:szCs w:val="22"/>
        </w:rPr>
      </w:pPr>
    </w:p>
    <w:p w14:paraId="1EB53D2F">
      <w:pPr>
        <w:spacing w:line="360" w:lineRule="auto"/>
        <w:jc w:val="center"/>
        <w:rPr>
          <w:rFonts w:ascii="方正小标宋简体" w:eastAsia="方正小标宋简体"/>
          <w:sz w:val="72"/>
          <w:szCs w:val="72"/>
        </w:rPr>
      </w:pPr>
    </w:p>
    <w:p w14:paraId="15F8BE2A">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1D5C6152">
      <w:pPr>
        <w:pStyle w:val="55"/>
        <w:spacing w:before="560" w:after="560" w:line="240" w:lineRule="auto"/>
        <w:rPr>
          <w:rFonts w:hint="eastAsia"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2025年3月</w:t>
      </w:r>
    </w:p>
    <w:p w14:paraId="65DDBE4C">
      <w:pPr>
        <w:pStyle w:val="222"/>
        <w:jc w:val="center"/>
        <w:rPr>
          <w:rFonts w:hint="eastAsia"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2679BEDB">
          <w:pPr>
            <w:widowControl/>
            <w:jc w:val="center"/>
          </w:pPr>
        </w:p>
        <w:p w14:paraId="2AD267E0">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3"/>
            </w:rPr>
            <w:t>1</w:t>
          </w:r>
          <w:r>
            <w:rPr>
              <w:rStyle w:val="43"/>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69183C54">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3"/>
            </w:rPr>
            <w:t>2</w:t>
          </w:r>
          <w:r>
            <w:rPr>
              <w:rStyle w:val="43"/>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1278ED38">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3"/>
            </w:rPr>
            <w:t>3</w:t>
          </w:r>
          <w:r>
            <w:rPr>
              <w:rStyle w:val="43"/>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49664C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3"/>
            </w:rPr>
            <w:t>4</w:t>
          </w:r>
          <w:r>
            <w:rPr>
              <w:rStyle w:val="43"/>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5AACF2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3"/>
            </w:rPr>
            <w:t>5</w:t>
          </w:r>
          <w:r>
            <w:rPr>
              <w:rStyle w:val="43"/>
              <w:rFonts w:hint="eastAsia"/>
            </w:rPr>
            <w:t>　技术参数和性能要求</w:t>
          </w:r>
          <w:r>
            <w:tab/>
          </w:r>
          <w:r>
            <w:fldChar w:fldCharType="begin"/>
          </w:r>
          <w:r>
            <w:instrText xml:space="preserve"> PAGEREF _Toc438720045 \h </w:instrText>
          </w:r>
          <w:r>
            <w:fldChar w:fldCharType="separate"/>
          </w:r>
          <w:r>
            <w:t>4</w:t>
          </w:r>
          <w:r>
            <w:fldChar w:fldCharType="end"/>
          </w:r>
          <w:r>
            <w:fldChar w:fldCharType="end"/>
          </w:r>
        </w:p>
        <w:p w14:paraId="43D6370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3"/>
            </w:rPr>
            <w:t>6</w:t>
          </w:r>
          <w:r>
            <w:rPr>
              <w:rStyle w:val="43"/>
              <w:rFonts w:hint="eastAsia"/>
            </w:rPr>
            <w:t>　试验</w:t>
          </w:r>
          <w:r>
            <w:tab/>
          </w:r>
          <w:r>
            <w:fldChar w:fldCharType="begin"/>
          </w:r>
          <w:r>
            <w:instrText xml:space="preserve"> PAGEREF _Toc438720046 \h </w:instrText>
          </w:r>
          <w:r>
            <w:fldChar w:fldCharType="separate"/>
          </w:r>
          <w:r>
            <w:t>6</w:t>
          </w:r>
          <w:r>
            <w:fldChar w:fldCharType="end"/>
          </w:r>
          <w:r>
            <w:fldChar w:fldCharType="end"/>
          </w:r>
        </w:p>
        <w:p w14:paraId="2B32205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3"/>
            </w:rPr>
            <w:t>7</w:t>
          </w:r>
          <w:r>
            <w:rPr>
              <w:rStyle w:val="43"/>
              <w:rFonts w:hint="eastAsia"/>
            </w:rPr>
            <w:t>　技术服务、工厂检验</w:t>
          </w:r>
          <w:r>
            <w:tab/>
          </w:r>
          <w:r>
            <w:fldChar w:fldCharType="begin"/>
          </w:r>
          <w:r>
            <w:instrText xml:space="preserve"> PAGEREF _Toc438720047 \h </w:instrText>
          </w:r>
          <w:r>
            <w:fldChar w:fldCharType="separate"/>
          </w:r>
          <w:r>
            <w:t>7</w:t>
          </w:r>
          <w:r>
            <w:fldChar w:fldCharType="end"/>
          </w:r>
          <w:r>
            <w:fldChar w:fldCharType="end"/>
          </w:r>
        </w:p>
        <w:p w14:paraId="15DE5D37">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3"/>
            </w:rPr>
            <w:t>8</w:t>
          </w:r>
          <w:r>
            <w:rPr>
              <w:rStyle w:val="43"/>
              <w:rFonts w:hint="eastAsia"/>
            </w:rPr>
            <w:t>　报价表</w:t>
          </w:r>
          <w:r>
            <w:tab/>
          </w:r>
          <w:r>
            <w:fldChar w:fldCharType="begin"/>
          </w:r>
          <w:r>
            <w:instrText xml:space="preserve"> PAGEREF _Toc438720048 \h </w:instrText>
          </w:r>
          <w:r>
            <w:fldChar w:fldCharType="separate"/>
          </w:r>
          <w:r>
            <w:t>8</w:t>
          </w:r>
          <w:r>
            <w:fldChar w:fldCharType="end"/>
          </w:r>
          <w:r>
            <w:fldChar w:fldCharType="end"/>
          </w:r>
        </w:p>
        <w:p w14:paraId="592D2A45">
          <w:pPr>
            <w:adjustRightInd w:val="0"/>
            <w:snapToGrid w:val="0"/>
          </w:pPr>
          <w:r>
            <w:rPr>
              <w:szCs w:val="21"/>
            </w:rPr>
            <w:fldChar w:fldCharType="end"/>
          </w:r>
        </w:p>
      </w:sdtContent>
    </w:sdt>
    <w:p w14:paraId="3C5FBC2B">
      <w:pPr>
        <w:widowControl/>
        <w:jc w:val="center"/>
        <w:rPr>
          <w:rFonts w:hint="eastAsia" w:asciiTheme="minorEastAsia" w:hAnsiTheme="minorEastAsia" w:eastAsiaTheme="minorEastAsia"/>
          <w:b/>
          <w:sz w:val="36"/>
          <w:szCs w:val="36"/>
        </w:rPr>
      </w:pPr>
    </w:p>
    <w:p w14:paraId="345CAC76">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5B73628D">
      <w:pPr>
        <w:pStyle w:val="60"/>
        <w:outlineLvl w:val="0"/>
      </w:pPr>
      <w:bookmarkStart w:id="0" w:name="_Toc438720041"/>
      <w:bookmarkStart w:id="1" w:name="_Toc344384427"/>
      <w:bookmarkStart w:id="2" w:name="_Toc355884468"/>
      <w:bookmarkStart w:id="3" w:name="_Toc396866892"/>
      <w:r>
        <w:rPr>
          <w:rFonts w:hint="eastAsia"/>
        </w:rPr>
        <w:t>1　范围</w:t>
      </w:r>
      <w:bookmarkEnd w:id="0"/>
      <w:bookmarkEnd w:id="1"/>
      <w:bookmarkEnd w:id="2"/>
      <w:bookmarkEnd w:id="3"/>
    </w:p>
    <w:p w14:paraId="532B684F">
      <w:pPr>
        <w:topLinePunct/>
        <w:spacing w:line="326" w:lineRule="exact"/>
        <w:ind w:firstLine="420"/>
        <w:rPr>
          <w:snapToGrid w:val="0"/>
          <w:szCs w:val="21"/>
        </w:rPr>
      </w:pPr>
      <w:r>
        <w:rPr>
          <w:rFonts w:hint="eastAsia"/>
          <w:snapToGrid w:val="0"/>
          <w:szCs w:val="21"/>
        </w:rPr>
        <w:t>本部分规定了</w:t>
      </w:r>
      <w:r>
        <w:rPr>
          <w:rFonts w:hint="eastAsia"/>
        </w:rPr>
        <w:t>变压器用漆包铜扁绕组线</w:t>
      </w:r>
      <w:r>
        <w:rPr>
          <w:rFonts w:hint="eastAsia"/>
          <w:snapToGrid w:val="0"/>
          <w:szCs w:val="21"/>
        </w:rPr>
        <w:t>招标的总则、技术参数和性能要求、试验、包装、运输、交货及工厂检验和监造的一般要求。</w:t>
      </w:r>
    </w:p>
    <w:p w14:paraId="03E183EF">
      <w:pPr>
        <w:topLinePunct/>
        <w:spacing w:line="326" w:lineRule="exact"/>
        <w:ind w:firstLine="420"/>
        <w:rPr>
          <w:snapToGrid w:val="0"/>
          <w:szCs w:val="21"/>
        </w:rPr>
      </w:pPr>
      <w:r>
        <w:rPr>
          <w:rFonts w:hint="eastAsia"/>
          <w:snapToGrid w:val="0"/>
          <w:szCs w:val="21"/>
        </w:rPr>
        <w:t>本部分适用于</w:t>
      </w:r>
      <w:r>
        <w:rPr>
          <w:rFonts w:hint="eastAsia"/>
        </w:rPr>
        <w:t>变压器用漆包铜扁绕组线</w:t>
      </w:r>
      <w:r>
        <w:rPr>
          <w:rFonts w:hint="eastAsia"/>
          <w:snapToGrid w:val="0"/>
          <w:szCs w:val="21"/>
        </w:rPr>
        <w:t>招标。</w:t>
      </w:r>
    </w:p>
    <w:p w14:paraId="68A15B85">
      <w:pPr>
        <w:pStyle w:val="60"/>
        <w:outlineLvl w:val="0"/>
      </w:pPr>
      <w:bookmarkStart w:id="4" w:name="_Toc438720042"/>
      <w:r>
        <w:rPr>
          <w:rFonts w:hint="eastAsia"/>
        </w:rPr>
        <w:t>2　规范性引用文件</w:t>
      </w:r>
      <w:bookmarkEnd w:id="4"/>
    </w:p>
    <w:p w14:paraId="541EEA4A">
      <w:pPr>
        <w:topLinePunct/>
        <w:spacing w:line="326" w:lineRule="exact"/>
        <w:ind w:firstLine="420"/>
        <w:rPr>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6F253DBE">
      <w:pPr>
        <w:topLinePunct/>
        <w:spacing w:line="326" w:lineRule="exact"/>
        <w:ind w:firstLine="420"/>
        <w:rPr>
          <w:snapToGrid w:val="0"/>
          <w:szCs w:val="21"/>
        </w:rPr>
      </w:pPr>
      <w:r>
        <w:rPr>
          <w:rFonts w:eastAsia="Times New Roman"/>
          <w:spacing w:val="-2"/>
        </w:rPr>
        <w:t>GB/T4074</w:t>
      </w:r>
      <w:r>
        <w:rPr>
          <w:spacing w:val="-2"/>
        </w:rPr>
        <w:t>.</w:t>
      </w:r>
      <w:r>
        <w:rPr>
          <w:rFonts w:eastAsia="Times New Roman"/>
          <w:spacing w:val="-2"/>
        </w:rPr>
        <w:t>1~6-20</w:t>
      </w:r>
      <w:r>
        <w:rPr>
          <w:rFonts w:hint="eastAsia" w:eastAsiaTheme="minorEastAsia"/>
          <w:spacing w:val="-2"/>
        </w:rPr>
        <w:t>24</w:t>
      </w:r>
      <w:r>
        <w:rPr>
          <w:rFonts w:hint="eastAsia"/>
          <w:snapToGrid w:val="0"/>
          <w:szCs w:val="21"/>
        </w:rPr>
        <w:t xml:space="preserve">        《</w:t>
      </w:r>
      <w:r>
        <w:rPr>
          <w:spacing w:val="-2"/>
        </w:rPr>
        <w:t>绕组线试验方法</w:t>
      </w:r>
      <w:r>
        <w:rPr>
          <w:rFonts w:hint="eastAsia"/>
          <w:snapToGrid w:val="0"/>
          <w:szCs w:val="21"/>
        </w:rPr>
        <w:t>》</w:t>
      </w:r>
    </w:p>
    <w:p w14:paraId="2C91B492">
      <w:pPr>
        <w:topLinePunct/>
        <w:spacing w:line="326" w:lineRule="exact"/>
        <w:ind w:firstLine="420"/>
        <w:rPr>
          <w:snapToGrid w:val="0"/>
          <w:szCs w:val="21"/>
        </w:rPr>
      </w:pPr>
      <w:r>
        <w:rPr>
          <w:rFonts w:eastAsia="Times New Roman"/>
          <w:spacing w:val="-2"/>
        </w:rPr>
        <w:t>GB/T7095</w:t>
      </w:r>
      <w:r>
        <w:rPr>
          <w:spacing w:val="-2"/>
        </w:rPr>
        <w:t>.</w:t>
      </w:r>
      <w:r>
        <w:rPr>
          <w:rFonts w:hint="eastAsia" w:eastAsiaTheme="minorEastAsia"/>
          <w:spacing w:val="-2"/>
        </w:rPr>
        <w:t>3</w:t>
      </w:r>
      <w:r>
        <w:rPr>
          <w:rFonts w:eastAsia="Times New Roman"/>
          <w:spacing w:val="-2"/>
        </w:rPr>
        <w:t>-2008</w:t>
      </w:r>
      <w:r>
        <w:rPr>
          <w:rFonts w:hint="eastAsia"/>
          <w:snapToGrid w:val="0"/>
          <w:szCs w:val="21"/>
        </w:rPr>
        <w:t xml:space="preserve">          《</w:t>
      </w:r>
      <w:r>
        <w:rPr>
          <w:spacing w:val="-2"/>
        </w:rPr>
        <w:t>漆包铜扁绕组线第</w:t>
      </w:r>
      <w:r>
        <w:rPr>
          <w:spacing w:val="-54"/>
        </w:rPr>
        <w:t xml:space="preserve"> </w:t>
      </w:r>
      <w:r>
        <w:rPr>
          <w:rFonts w:hint="eastAsia" w:eastAsiaTheme="minorEastAsia"/>
          <w:spacing w:val="-2"/>
        </w:rPr>
        <w:t>3</w:t>
      </w:r>
      <w:r>
        <w:rPr>
          <w:rFonts w:eastAsia="Times New Roman"/>
          <w:spacing w:val="-2"/>
        </w:rPr>
        <w:t xml:space="preserve"> </w:t>
      </w:r>
      <w:r>
        <w:rPr>
          <w:spacing w:val="-2"/>
        </w:rPr>
        <w:t>部分：</w:t>
      </w:r>
      <w:r>
        <w:rPr>
          <w:rFonts w:eastAsia="Times New Roman"/>
          <w:spacing w:val="-2"/>
        </w:rPr>
        <w:t>1</w:t>
      </w:r>
      <w:r>
        <w:rPr>
          <w:rFonts w:hint="eastAsia" w:eastAsiaTheme="minorEastAsia"/>
          <w:spacing w:val="-2"/>
        </w:rPr>
        <w:t>55</w:t>
      </w:r>
      <w:r>
        <w:rPr>
          <w:rFonts w:eastAsia="Times New Roman"/>
          <w:spacing w:val="-2"/>
        </w:rPr>
        <w:t xml:space="preserve"> </w:t>
      </w:r>
      <w:r>
        <w:rPr>
          <w:spacing w:val="-2"/>
        </w:rPr>
        <w:t>级</w:t>
      </w:r>
      <w:r>
        <w:rPr>
          <w:rFonts w:hint="eastAsia"/>
          <w:spacing w:val="-2"/>
        </w:rPr>
        <w:t>聚酯</w:t>
      </w:r>
      <w:r>
        <w:rPr>
          <w:spacing w:val="-2"/>
        </w:rPr>
        <w:t>漆包铜扁线</w:t>
      </w:r>
      <w:r>
        <w:rPr>
          <w:rFonts w:hint="eastAsia"/>
          <w:snapToGrid w:val="0"/>
          <w:szCs w:val="21"/>
        </w:rPr>
        <w:t>》</w:t>
      </w:r>
    </w:p>
    <w:p w14:paraId="524A9F9E">
      <w:pPr>
        <w:topLinePunct/>
        <w:spacing w:line="326" w:lineRule="exact"/>
        <w:ind w:firstLine="420"/>
        <w:rPr>
          <w:snapToGrid w:val="0"/>
          <w:szCs w:val="21"/>
        </w:rPr>
      </w:pPr>
      <w:r>
        <w:rPr>
          <w:rFonts w:eastAsia="Times New Roman"/>
          <w:spacing w:val="-1"/>
        </w:rPr>
        <w:t>GB/T7095</w:t>
      </w:r>
      <w:r>
        <w:rPr>
          <w:spacing w:val="-1"/>
        </w:rPr>
        <w:t>.</w:t>
      </w:r>
      <w:r>
        <w:rPr>
          <w:rFonts w:eastAsia="Times New Roman"/>
          <w:spacing w:val="-1"/>
        </w:rPr>
        <w:t>4-2008</w:t>
      </w:r>
      <w:r>
        <w:rPr>
          <w:rFonts w:hint="eastAsia"/>
          <w:snapToGrid w:val="0"/>
          <w:szCs w:val="21"/>
        </w:rPr>
        <w:t xml:space="preserve">          《</w:t>
      </w:r>
      <w:r>
        <w:rPr>
          <w:spacing w:val="-1"/>
        </w:rPr>
        <w:t>漆包铜扁绕组线第</w:t>
      </w:r>
      <w:r>
        <w:rPr>
          <w:spacing w:val="-56"/>
        </w:rPr>
        <w:t xml:space="preserve"> </w:t>
      </w:r>
      <w:r>
        <w:rPr>
          <w:rFonts w:eastAsia="Times New Roman"/>
          <w:spacing w:val="-1"/>
        </w:rPr>
        <w:t xml:space="preserve">4 </w:t>
      </w:r>
      <w:r>
        <w:rPr>
          <w:spacing w:val="-1"/>
        </w:rPr>
        <w:t>部分：</w:t>
      </w:r>
      <w:r>
        <w:rPr>
          <w:rFonts w:eastAsia="Times New Roman"/>
          <w:spacing w:val="-1"/>
        </w:rPr>
        <w:t xml:space="preserve">180 </w:t>
      </w:r>
      <w:r>
        <w:rPr>
          <w:spacing w:val="-1"/>
        </w:rPr>
        <w:t>级聚酯亚胺漆包铜扁线</w:t>
      </w:r>
      <w:r>
        <w:rPr>
          <w:rFonts w:hint="eastAsia"/>
          <w:snapToGrid w:val="0"/>
          <w:szCs w:val="21"/>
        </w:rPr>
        <w:t>》</w:t>
      </w:r>
    </w:p>
    <w:p w14:paraId="4F6CBD19">
      <w:pPr>
        <w:topLinePunct/>
        <w:spacing w:line="326" w:lineRule="exact"/>
        <w:ind w:left="2940" w:leftChars="200" w:hanging="2520" w:hangingChars="1200"/>
        <w:rPr>
          <w:snapToGrid w:val="0"/>
          <w:szCs w:val="21"/>
        </w:rPr>
      </w:pPr>
      <w:r>
        <w:rPr>
          <w:rFonts w:eastAsia="Times New Roman"/>
        </w:rPr>
        <w:t>GB/T7095</w:t>
      </w:r>
      <w:r>
        <w:t>.</w:t>
      </w:r>
      <w:r>
        <w:rPr>
          <w:rFonts w:eastAsia="Times New Roman"/>
        </w:rPr>
        <w:t>6-2008</w:t>
      </w:r>
      <w:r>
        <w:rPr>
          <w:rFonts w:hint="eastAsia"/>
          <w:snapToGrid w:val="0"/>
          <w:szCs w:val="21"/>
        </w:rPr>
        <w:t xml:space="preserve">          《</w:t>
      </w:r>
      <w:r>
        <w:t>漆包铜扁绕组线第</w:t>
      </w:r>
      <w:r>
        <w:rPr>
          <w:rFonts w:eastAsia="Times New Roman"/>
        </w:rPr>
        <w:t xml:space="preserve">6 </w:t>
      </w:r>
      <w:r>
        <w:t>部分：</w:t>
      </w:r>
      <w:r>
        <w:rPr>
          <w:rFonts w:eastAsia="Times New Roman"/>
        </w:rPr>
        <w:t>20</w:t>
      </w:r>
      <w:r>
        <w:rPr>
          <w:rFonts w:eastAsia="Times New Roman"/>
          <w:spacing w:val="-1"/>
        </w:rPr>
        <w:t xml:space="preserve">0 </w:t>
      </w:r>
      <w:r>
        <w:rPr>
          <w:spacing w:val="-1"/>
        </w:rPr>
        <w:t>级聚酯或聚酯亚胺</w:t>
      </w:r>
      <w:r>
        <w:rPr>
          <w:rFonts w:eastAsia="Times New Roman"/>
          <w:spacing w:val="-1"/>
        </w:rPr>
        <w:t>/</w:t>
      </w:r>
      <w:r>
        <w:rPr>
          <w:spacing w:val="-1"/>
        </w:rPr>
        <w:t>聚酰</w:t>
      </w:r>
      <w:r>
        <w:rPr>
          <w:rFonts w:hint="eastAsia"/>
          <w:spacing w:val="-1"/>
        </w:rPr>
        <w:t xml:space="preserve">   </w:t>
      </w:r>
      <w:r>
        <w:rPr>
          <w:spacing w:val="-1"/>
        </w:rPr>
        <w:t>胺</w:t>
      </w:r>
      <w:r>
        <w:t xml:space="preserve"> </w:t>
      </w:r>
      <w:r>
        <w:rPr>
          <w:spacing w:val="-4"/>
        </w:rPr>
        <w:t>酰亚胺复合漆包铜扁线</w:t>
      </w:r>
      <w:r>
        <w:rPr>
          <w:rFonts w:hint="eastAsia"/>
          <w:snapToGrid w:val="0"/>
          <w:szCs w:val="21"/>
        </w:rPr>
        <w:t>》</w:t>
      </w:r>
    </w:p>
    <w:p w14:paraId="68124AB8">
      <w:pPr>
        <w:topLinePunct/>
        <w:spacing w:line="326" w:lineRule="exact"/>
        <w:ind w:firstLine="420"/>
        <w:rPr>
          <w:snapToGrid w:val="0"/>
          <w:szCs w:val="21"/>
        </w:rPr>
      </w:pPr>
      <w:r>
        <w:rPr>
          <w:rFonts w:eastAsia="Times New Roman"/>
          <w:spacing w:val="-2"/>
        </w:rPr>
        <w:t>GB/T7095</w:t>
      </w:r>
      <w:r>
        <w:rPr>
          <w:spacing w:val="-2"/>
        </w:rPr>
        <w:t>.</w:t>
      </w:r>
      <w:r>
        <w:rPr>
          <w:rFonts w:hint="eastAsia" w:eastAsiaTheme="minorEastAsia"/>
          <w:spacing w:val="-2"/>
        </w:rPr>
        <w:t>7</w:t>
      </w:r>
      <w:r>
        <w:rPr>
          <w:rFonts w:eastAsia="Times New Roman"/>
          <w:spacing w:val="-2"/>
        </w:rPr>
        <w:t>-2008</w:t>
      </w:r>
      <w:r>
        <w:rPr>
          <w:rFonts w:hint="eastAsia"/>
          <w:snapToGrid w:val="0"/>
          <w:szCs w:val="21"/>
        </w:rPr>
        <w:t xml:space="preserve">          《</w:t>
      </w:r>
      <w:r>
        <w:rPr>
          <w:spacing w:val="-2"/>
        </w:rPr>
        <w:t>漆包铜扁绕组线第</w:t>
      </w:r>
      <w:r>
        <w:rPr>
          <w:spacing w:val="-54"/>
        </w:rPr>
        <w:t xml:space="preserve"> </w:t>
      </w:r>
      <w:r>
        <w:rPr>
          <w:rFonts w:hint="eastAsia" w:eastAsiaTheme="minorEastAsia"/>
          <w:spacing w:val="-2"/>
        </w:rPr>
        <w:t>7</w:t>
      </w:r>
      <w:r>
        <w:rPr>
          <w:rFonts w:eastAsia="Times New Roman"/>
          <w:spacing w:val="-2"/>
        </w:rPr>
        <w:t xml:space="preserve"> </w:t>
      </w:r>
      <w:r>
        <w:rPr>
          <w:spacing w:val="-2"/>
        </w:rPr>
        <w:t>部分：</w:t>
      </w:r>
      <w:r>
        <w:rPr>
          <w:rFonts w:eastAsia="Times New Roman"/>
          <w:spacing w:val="-2"/>
        </w:rPr>
        <w:t>1</w:t>
      </w:r>
      <w:r>
        <w:rPr>
          <w:rFonts w:hint="eastAsia" w:eastAsiaTheme="minorEastAsia"/>
          <w:spacing w:val="-2"/>
        </w:rPr>
        <w:t>3</w:t>
      </w:r>
      <w:r>
        <w:rPr>
          <w:rFonts w:eastAsia="Times New Roman"/>
          <w:spacing w:val="-2"/>
        </w:rPr>
        <w:t xml:space="preserve">0 </w:t>
      </w:r>
      <w:r>
        <w:rPr>
          <w:spacing w:val="-2"/>
        </w:rPr>
        <w:t>级</w:t>
      </w:r>
      <w:r>
        <w:rPr>
          <w:rFonts w:hint="eastAsia"/>
          <w:spacing w:val="-2"/>
        </w:rPr>
        <w:t>聚酯</w:t>
      </w:r>
      <w:r>
        <w:rPr>
          <w:spacing w:val="-2"/>
        </w:rPr>
        <w:t>漆包铜扁线</w:t>
      </w:r>
      <w:r>
        <w:rPr>
          <w:rFonts w:hint="eastAsia"/>
          <w:snapToGrid w:val="0"/>
          <w:szCs w:val="21"/>
        </w:rPr>
        <w:t>》</w:t>
      </w:r>
    </w:p>
    <w:p w14:paraId="07C2D3B1">
      <w:pPr>
        <w:pStyle w:val="60"/>
        <w:outlineLvl w:val="0"/>
      </w:pPr>
      <w:bookmarkStart w:id="5" w:name="_Toc438720043"/>
      <w:r>
        <w:rPr>
          <w:rFonts w:hint="eastAsia"/>
        </w:rPr>
        <w:t>3　术语和定义</w:t>
      </w:r>
      <w:bookmarkEnd w:id="5"/>
    </w:p>
    <w:p w14:paraId="1110012F">
      <w:pPr>
        <w:topLinePunct/>
        <w:spacing w:line="326" w:lineRule="exact"/>
        <w:ind w:firstLine="420"/>
        <w:rPr>
          <w:snapToGrid w:val="0"/>
          <w:szCs w:val="21"/>
        </w:rPr>
      </w:pPr>
      <w:r>
        <w:rPr>
          <w:rFonts w:hint="eastAsia"/>
          <w:snapToGrid w:val="0"/>
          <w:szCs w:val="21"/>
        </w:rPr>
        <w:t>下列术语和定义适用于本文件。</w:t>
      </w:r>
    </w:p>
    <w:p w14:paraId="7692F621">
      <w:pPr>
        <w:topLinePunct/>
        <w:spacing w:line="326" w:lineRule="exact"/>
        <w:ind w:firstLine="420"/>
        <w:rPr>
          <w:snapToGrid w:val="0"/>
          <w:szCs w:val="21"/>
        </w:rPr>
      </w:pPr>
      <w:r>
        <w:rPr>
          <w:snapToGrid w:val="0"/>
          <w:szCs w:val="21"/>
        </w:rPr>
        <w:t>3.1</w:t>
      </w:r>
      <w:r>
        <w:rPr>
          <w:rFonts w:hint="eastAsia"/>
          <w:snapToGrid w:val="0"/>
          <w:szCs w:val="21"/>
        </w:rPr>
        <w:t>　</w:t>
      </w:r>
    </w:p>
    <w:p w14:paraId="081787AA">
      <w:pPr>
        <w:topLinePunct/>
        <w:spacing w:line="326" w:lineRule="exact"/>
        <w:ind w:firstLine="420"/>
        <w:rPr>
          <w:snapToGrid w:val="0"/>
          <w:szCs w:val="21"/>
        </w:rPr>
      </w:pPr>
      <w:r>
        <w:rPr>
          <w:rFonts w:hint="eastAsia"/>
          <w:snapToGrid w:val="0"/>
          <w:szCs w:val="21"/>
        </w:rPr>
        <w:t>招标人　</w:t>
      </w:r>
      <w:r>
        <w:rPr>
          <w:snapToGrid w:val="0"/>
          <w:szCs w:val="21"/>
        </w:rPr>
        <w:t>bidder</w:t>
      </w:r>
    </w:p>
    <w:p w14:paraId="55A78029">
      <w:pPr>
        <w:topLinePunct/>
        <w:spacing w:line="326" w:lineRule="exact"/>
        <w:ind w:firstLine="420"/>
        <w:rPr>
          <w:snapToGrid w:val="0"/>
          <w:szCs w:val="21"/>
        </w:rPr>
      </w:pPr>
      <w:r>
        <w:rPr>
          <w:rFonts w:hint="eastAsia"/>
          <w:snapToGrid w:val="0"/>
          <w:szCs w:val="21"/>
        </w:rPr>
        <w:t>提出招标项目，进行招标的法人或其他组织。</w:t>
      </w:r>
    </w:p>
    <w:p w14:paraId="0CB83916">
      <w:pPr>
        <w:topLinePunct/>
        <w:spacing w:line="326" w:lineRule="exact"/>
        <w:ind w:firstLine="420"/>
        <w:rPr>
          <w:snapToGrid w:val="0"/>
          <w:szCs w:val="21"/>
        </w:rPr>
      </w:pPr>
      <w:r>
        <w:rPr>
          <w:snapToGrid w:val="0"/>
          <w:szCs w:val="21"/>
        </w:rPr>
        <w:t>3.2</w:t>
      </w:r>
      <w:r>
        <w:rPr>
          <w:rFonts w:hint="eastAsia"/>
          <w:snapToGrid w:val="0"/>
          <w:szCs w:val="21"/>
        </w:rPr>
        <w:t>　</w:t>
      </w:r>
    </w:p>
    <w:p w14:paraId="23D2F5F3">
      <w:pPr>
        <w:topLinePunct/>
        <w:spacing w:line="326" w:lineRule="exact"/>
        <w:ind w:firstLine="420"/>
        <w:rPr>
          <w:snapToGrid w:val="0"/>
          <w:szCs w:val="21"/>
        </w:rPr>
      </w:pPr>
      <w:r>
        <w:rPr>
          <w:rFonts w:hint="eastAsia"/>
          <w:snapToGrid w:val="0"/>
          <w:szCs w:val="21"/>
        </w:rPr>
        <w:t>投标人　</w:t>
      </w:r>
      <w:r>
        <w:rPr>
          <w:snapToGrid w:val="0"/>
          <w:szCs w:val="21"/>
        </w:rPr>
        <w:t>tenderer</w:t>
      </w:r>
    </w:p>
    <w:p w14:paraId="6092A74A">
      <w:pPr>
        <w:topLinePunct/>
        <w:spacing w:line="326" w:lineRule="exact"/>
        <w:ind w:firstLine="420"/>
        <w:rPr>
          <w:snapToGrid w:val="0"/>
          <w:szCs w:val="21"/>
        </w:rPr>
      </w:pPr>
      <w:r>
        <w:rPr>
          <w:rFonts w:hint="eastAsia"/>
          <w:snapToGrid w:val="0"/>
          <w:szCs w:val="21"/>
        </w:rPr>
        <w:t>响应招标、参加投标竞争的法人或者其他组织。</w:t>
      </w:r>
    </w:p>
    <w:p w14:paraId="09AB863D">
      <w:pPr>
        <w:topLinePunct/>
        <w:spacing w:line="326" w:lineRule="exact"/>
        <w:ind w:firstLine="420"/>
        <w:rPr>
          <w:snapToGrid w:val="0"/>
          <w:szCs w:val="21"/>
        </w:rPr>
      </w:pPr>
      <w:r>
        <w:rPr>
          <w:snapToGrid w:val="0"/>
          <w:szCs w:val="21"/>
        </w:rPr>
        <w:t>3.3</w:t>
      </w:r>
      <w:r>
        <w:rPr>
          <w:rFonts w:hint="eastAsia"/>
          <w:snapToGrid w:val="0"/>
          <w:szCs w:val="21"/>
        </w:rPr>
        <w:t>　</w:t>
      </w:r>
    </w:p>
    <w:p w14:paraId="5767EC3F">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1C4A1775">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6059690B">
      <w:pPr>
        <w:topLinePunct/>
        <w:spacing w:line="326" w:lineRule="exact"/>
        <w:ind w:firstLine="420"/>
        <w:rPr>
          <w:snapToGrid w:val="0"/>
          <w:szCs w:val="21"/>
        </w:rPr>
      </w:pPr>
      <w:r>
        <w:rPr>
          <w:snapToGrid w:val="0"/>
          <w:szCs w:val="21"/>
        </w:rPr>
        <w:t>3.4</w:t>
      </w:r>
    </w:p>
    <w:p w14:paraId="449494DF">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15022FB8">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454A6E05">
      <w:pPr>
        <w:pStyle w:val="60"/>
        <w:outlineLvl w:val="0"/>
      </w:pPr>
      <w:bookmarkStart w:id="6" w:name="_Toc438720044"/>
      <w:r>
        <w:rPr>
          <w:rFonts w:hint="eastAsia"/>
        </w:rPr>
        <w:t>4　总则</w:t>
      </w:r>
      <w:bookmarkEnd w:id="6"/>
    </w:p>
    <w:p w14:paraId="2F5E9BEA">
      <w:pPr>
        <w:pStyle w:val="59"/>
      </w:pPr>
      <w:r>
        <w:rPr>
          <w:rFonts w:hint="eastAsia"/>
        </w:rPr>
        <w:t>4</w:t>
      </w:r>
      <w:r>
        <w:rPr>
          <w:rFonts w:hint="eastAsia"/>
          <w:spacing w:val="20"/>
        </w:rPr>
        <w:t>.</w:t>
      </w:r>
      <w:r>
        <w:rPr>
          <w:rFonts w:hint="eastAsia"/>
        </w:rPr>
        <w:t>1　一般规定</w:t>
      </w:r>
    </w:p>
    <w:p w14:paraId="03B11D70">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5AE3FC83">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06466F4A">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700440D3">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如果投标人没有以书面形式对本部分的条文提出差异，则意味着投标人提供的产品完全符合本部分的要求。如有与本部分要求不一致的地方，应逐项在技术差异表中列出。</w:t>
      </w:r>
    </w:p>
    <w:p w14:paraId="366E4E4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3705502A">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2D653D9A">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569AF442">
      <w:pPr>
        <w:pStyle w:val="59"/>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10214B4F">
      <w:pPr>
        <w:topLinePunct/>
        <w:spacing w:line="312" w:lineRule="exact"/>
        <w:ind w:firstLine="420"/>
        <w:rPr>
          <w:snapToGrid w:val="0"/>
          <w:szCs w:val="21"/>
        </w:rPr>
      </w:pPr>
      <w:r>
        <w:rPr>
          <w:rFonts w:hint="eastAsia"/>
          <w:snapToGrid w:val="0"/>
          <w:szCs w:val="21"/>
        </w:rPr>
        <w:t>投标人应提供下列资格文件：</w:t>
      </w:r>
    </w:p>
    <w:p w14:paraId="1C4C23BA">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36A30061">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3D6C86BE">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投标人或制造商应提供履行合同所需的技术和主要产品等生产能力的文件资料。</w:t>
      </w:r>
    </w:p>
    <w:p w14:paraId="031D8DF8">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投标人应提供有能力履行合同产品维护保养、修理及其他服务义务的文件。</w:t>
      </w:r>
    </w:p>
    <w:p w14:paraId="33CAD421">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32CAB1E3">
      <w:pPr>
        <w:pStyle w:val="59"/>
      </w:pPr>
      <w:r>
        <w:rPr>
          <w:rFonts w:hint="eastAsia"/>
        </w:rPr>
        <w:t>4</w:t>
      </w:r>
      <w:r>
        <w:rPr>
          <w:rFonts w:hint="eastAsia"/>
          <w:spacing w:val="20"/>
        </w:rPr>
        <w:t>.</w:t>
      </w:r>
      <w:r>
        <w:rPr>
          <w:rFonts w:hint="eastAsia"/>
        </w:rPr>
        <w:t>3　适用范围</w:t>
      </w:r>
    </w:p>
    <w:p w14:paraId="6E0749A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本部分的适用范围仅限于本项目的投标产品。内容包括设计、结构、性能、试验及现场服务和技术服务。</w:t>
      </w:r>
    </w:p>
    <w:p w14:paraId="7C74E6B6">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5E09A5A8">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667175A4">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3AB2CB49">
      <w:pPr>
        <w:topLinePunct/>
        <w:spacing w:line="312" w:lineRule="exact"/>
        <w:ind w:firstLine="420"/>
        <w:rPr>
          <w:szCs w:val="21"/>
        </w:rPr>
      </w:pPr>
      <w:r>
        <w:rPr>
          <w:rFonts w:hint="eastAsia"/>
          <w:szCs w:val="21"/>
        </w:rPr>
        <w:t>投标人应提供具体投标系列所对应的资质文件：</w:t>
      </w:r>
    </w:p>
    <w:p w14:paraId="0CE0F64C">
      <w:pPr>
        <w:ind w:left="840" w:hanging="420"/>
      </w:pPr>
      <w:r>
        <w:t>a</w:t>
      </w:r>
      <w:r>
        <w:rPr>
          <w:rFonts w:hint="eastAsia"/>
        </w:rPr>
        <w:t>）</w:t>
      </w:r>
      <w:r>
        <w:tab/>
      </w:r>
      <w:r>
        <w:rPr>
          <w:rFonts w:hint="eastAsia"/>
        </w:rPr>
        <w:t>变压器用漆包铜扁绕组线的3C证书、型式试验报告和出厂试验报告。</w:t>
      </w:r>
    </w:p>
    <w:p w14:paraId="362B9AF0">
      <w:pPr>
        <w:ind w:left="840" w:hanging="420"/>
      </w:pPr>
      <w:r>
        <w:t>b</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3D7E65D1">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15354A61">
      <w:pPr>
        <w:topLinePunct/>
        <w:spacing w:line="312" w:lineRule="exact"/>
        <w:ind w:firstLine="210" w:firstLineChars="100"/>
        <w:rPr>
          <w:snapToGrid w:val="0"/>
          <w:szCs w:val="21"/>
        </w:rPr>
      </w:pPr>
      <w:r>
        <w:rPr>
          <w:rFonts w:hint="eastAsia" w:ascii="EU-F1"/>
          <w:snapToGrid w:val="0"/>
          <w:szCs w:val="21"/>
        </w:rPr>
        <w:t>　</w:t>
      </w:r>
      <w:r>
        <w:rPr>
          <w:rFonts w:hint="eastAsia"/>
          <w:snapToGrid w:val="0"/>
          <w:szCs w:val="21"/>
        </w:rPr>
        <w:t>合同中所有产品，除本部分中规定的技术参数和要求外，其余均应遵照最新版本的电力行业标准（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），这是对产品的最低要求。投标人如果采用自己的标准或规范，应向招标人提供中文和英文（若有）复印件并经招标人同意后方可采用，但不能低于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40F73300">
      <w:pPr>
        <w:pStyle w:val="59"/>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646DDD24">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7CA7F1EF">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2AABFCED">
      <w:pPr>
        <w:pStyle w:val="59"/>
        <w:rPr>
          <w:snapToGrid w:val="0"/>
        </w:rPr>
      </w:pPr>
      <w:r>
        <w:rPr>
          <w:rFonts w:hint="eastAsia"/>
          <w:snapToGrid w:val="0"/>
        </w:rPr>
        <w:t>4</w:t>
      </w:r>
      <w:r>
        <w:rPr>
          <w:rFonts w:hint="eastAsia"/>
          <w:snapToGrid w:val="0"/>
          <w:spacing w:val="20"/>
        </w:rPr>
        <w:t>.</w:t>
      </w:r>
      <w:r>
        <w:rPr>
          <w:rFonts w:hint="eastAsia"/>
          <w:snapToGrid w:val="0"/>
        </w:rPr>
        <w:t>7　安装、调试、性能试验、试运行和验收</w:t>
      </w:r>
    </w:p>
    <w:p w14:paraId="33B836C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合同产品的</w:t>
      </w:r>
      <w:r>
        <w:rPr>
          <w:rFonts w:hint="eastAsia" w:ascii="EU-F1"/>
          <w:snapToGrid w:val="0"/>
          <w:szCs w:val="21"/>
        </w:rPr>
        <w:t>性能试验</w:t>
      </w:r>
      <w:r>
        <w:rPr>
          <w:rFonts w:hint="eastAsia"/>
          <w:snapToGrid w:val="0"/>
          <w:szCs w:val="21"/>
        </w:rPr>
        <w:t>和验收根据本部分规定的标准、规程规范进行。</w:t>
      </w:r>
    </w:p>
    <w:p w14:paraId="407254A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.2</w:t>
      </w:r>
      <w:r>
        <w:rPr>
          <w:rFonts w:hint="eastAsia" w:ascii="EU-F1"/>
          <w:snapToGrid w:val="0"/>
          <w:szCs w:val="21"/>
        </w:rPr>
        <w:t>　</w:t>
      </w:r>
      <w:r>
        <w:rPr>
          <w:rFonts w:hint="eastAsia"/>
          <w:snapToGrid w:val="0"/>
          <w:spacing w:val="-2"/>
          <w:szCs w:val="21"/>
        </w:rPr>
        <w:t>如果性能试验及质保期内技术指标一项或多项不能满足合同技术部分要求，招投标双方共同分析原因，分清责任，如属制造方面的原因，或涉及索赔部分，按商务部分有关条款执行。</w:t>
      </w:r>
    </w:p>
    <w:p w14:paraId="1C4115DD">
      <w:pPr>
        <w:pStyle w:val="60"/>
        <w:outlineLvl w:val="0"/>
        <w:rPr>
          <w:snapToGrid w:val="0"/>
          <w:color w:val="000000"/>
          <w:kern w:val="44"/>
        </w:rPr>
      </w:pPr>
      <w:bookmarkStart w:id="7" w:name="_Toc438720045"/>
      <w:r>
        <w:rPr>
          <w:rFonts w:hint="eastAsia"/>
          <w:snapToGrid w:val="0"/>
          <w:color w:val="000000"/>
          <w:kern w:val="44"/>
        </w:rPr>
        <w:t>5　技术参数和性能要求</w:t>
      </w:r>
      <w:bookmarkEnd w:id="7"/>
    </w:p>
    <w:p w14:paraId="2283B3A4">
      <w:pPr>
        <w:pStyle w:val="59"/>
        <w:rPr>
          <w:snapToGrid w:val="0"/>
        </w:rPr>
      </w:pPr>
      <w:r>
        <w:rPr>
          <w:rFonts w:hint="eastAsia"/>
          <w:snapToGrid w:val="0"/>
        </w:rPr>
        <w:t>5.1　外观</w:t>
      </w:r>
    </w:p>
    <w:p w14:paraId="549B658A">
      <w:pPr>
        <w:topLinePunct/>
        <w:spacing w:line="312" w:lineRule="exact"/>
        <w:ind w:firstLine="420" w:firstLineChars="200"/>
        <w:rPr>
          <w:snapToGrid w:val="0"/>
          <w:szCs w:val="21"/>
        </w:rPr>
      </w:pPr>
      <w:r>
        <w:rPr>
          <w:snapToGrid w:val="0"/>
          <w:szCs w:val="21"/>
        </w:rPr>
        <w:t>卷制在线盘上的漆包线，用正常视力检查时，漆膜应光滑、连续、无斑纹、无气泡和杂质。</w:t>
      </w:r>
    </w:p>
    <w:p w14:paraId="3CF1AC45">
      <w:pPr>
        <w:pStyle w:val="59"/>
      </w:pPr>
      <w:r>
        <w:rPr>
          <w:rFonts w:hint="eastAsia"/>
        </w:rPr>
        <w:t>5</w:t>
      </w:r>
      <w:r>
        <w:rPr>
          <w:rFonts w:hint="eastAsia"/>
          <w:spacing w:val="20"/>
        </w:rPr>
        <w:t>.</w:t>
      </w:r>
      <w:r>
        <w:rPr>
          <w:rFonts w:hint="eastAsia"/>
        </w:rPr>
        <w:t>2　技术参数</w:t>
      </w:r>
    </w:p>
    <w:p w14:paraId="4A651B83">
      <w:pPr>
        <w:pStyle w:val="59"/>
      </w:pPr>
      <w:r>
        <w:rPr>
          <w:rFonts w:hint="eastAsia"/>
        </w:rPr>
        <w:t>5.2.1导体尺寸</w:t>
      </w:r>
    </w:p>
    <w:p w14:paraId="02849C86">
      <w:pPr>
        <w:topLinePunct/>
        <w:spacing w:line="312" w:lineRule="exact"/>
        <w:ind w:firstLine="420" w:firstLineChars="200"/>
        <w:rPr>
          <w:rFonts w:ascii="EU-F1"/>
          <w:snapToGrid w:val="0"/>
          <w:szCs w:val="21"/>
        </w:rPr>
      </w:pPr>
      <w:r>
        <w:rPr>
          <w:rFonts w:ascii="EU-F1"/>
          <w:snapToGrid w:val="0"/>
          <w:szCs w:val="21"/>
        </w:rPr>
        <w:t>优先尺寸是宽边尺寸和窄边尺寸均按R20数系进行的组合，也应满足用户特殊要求。</w:t>
      </w:r>
    </w:p>
    <w:p w14:paraId="347580D2">
      <w:pPr>
        <w:pStyle w:val="17"/>
        <w:spacing w:before="33" w:line="220" w:lineRule="auto"/>
        <w:jc w:val="center"/>
      </w:pPr>
      <w:r>
        <w:rPr>
          <w:spacing w:val="-9"/>
        </w:rPr>
        <w:t>表</w:t>
      </w:r>
      <w:r>
        <w:rPr>
          <w:spacing w:val="-29"/>
        </w:rPr>
        <w:t xml:space="preserve"> </w:t>
      </w:r>
      <w:r>
        <w:rPr>
          <w:rFonts w:eastAsia="Times New Roman"/>
          <w:spacing w:val="-9"/>
        </w:rPr>
        <w:t>1</w:t>
      </w:r>
      <w:r>
        <w:rPr>
          <w:rFonts w:eastAsia="Times New Roman"/>
          <w:spacing w:val="17"/>
          <w:w w:val="101"/>
        </w:rPr>
        <w:t xml:space="preserve"> </w:t>
      </w:r>
      <w:r>
        <w:rPr>
          <w:spacing w:val="-9"/>
        </w:rPr>
        <w:t>公差规定</w:t>
      </w:r>
    </w:p>
    <w:p w14:paraId="1ADBBE5A">
      <w:pPr>
        <w:spacing w:line="68" w:lineRule="exact"/>
      </w:pPr>
    </w:p>
    <w:tbl>
      <w:tblPr>
        <w:tblStyle w:val="239"/>
        <w:tblW w:w="91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4"/>
        <w:gridCol w:w="1512"/>
        <w:gridCol w:w="1475"/>
        <w:gridCol w:w="1475"/>
        <w:gridCol w:w="1656"/>
        <w:gridCol w:w="1624"/>
      </w:tblGrid>
      <w:tr w14:paraId="42AEFF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956" w:type="dxa"/>
            <w:gridSpan w:val="2"/>
          </w:tcPr>
          <w:p w14:paraId="7B2246CD">
            <w:pPr>
              <w:spacing w:before="117" w:line="219" w:lineRule="auto"/>
              <w:ind w:left="531"/>
              <w:rPr>
                <w:rFonts w:hint="eastAsia" w:ascii="宋体" w:hAnsi="宋体" w:cs="宋体" w:eastAsiaTheme="minorEastAsia"/>
                <w:szCs w:val="21"/>
              </w:rPr>
            </w:pPr>
            <w:r>
              <w:rPr>
                <w:rFonts w:ascii="宋体" w:hAnsi="宋体" w:cs="宋体" w:eastAsiaTheme="minorEastAsia"/>
                <w:spacing w:val="-2"/>
                <w:szCs w:val="21"/>
              </w:rPr>
              <w:t>导体宽边标称尺寸</w:t>
            </w:r>
          </w:p>
        </w:tc>
        <w:tc>
          <w:tcPr>
            <w:tcW w:w="1475" w:type="dxa"/>
            <w:vMerge w:val="restart"/>
            <w:tcBorders>
              <w:bottom w:val="nil"/>
            </w:tcBorders>
          </w:tcPr>
          <w:p w14:paraId="6D032AF2">
            <w:pPr>
              <w:pStyle w:val="240"/>
              <w:spacing w:before="116" w:line="387" w:lineRule="auto"/>
              <w:ind w:left="546" w:right="496" w:hanging="37"/>
              <w:rPr>
                <w:rFonts w:hint="eastAsia" w:ascii="宋体" w:hAnsi="宋体" w:eastAsia="宋体" w:cs="宋体"/>
                <w:sz w:val="21"/>
                <w:szCs w:val="21"/>
              </w:rPr>
            </w:pPr>
            <w:r>
              <w:rPr>
                <w:rFonts w:ascii="宋体" w:hAnsi="宋体" w:eastAsia="宋体" w:cs="宋体"/>
                <w:spacing w:val="-9"/>
                <w:sz w:val="21"/>
                <w:szCs w:val="21"/>
              </w:rPr>
              <w:t>公差</w:t>
            </w:r>
            <w:r>
              <w:rPr>
                <w:rFonts w:ascii="宋体" w:hAnsi="宋体" w:eastAsia="宋体" w:cs="宋体"/>
                <w:sz w:val="21"/>
                <w:szCs w:val="21"/>
              </w:rPr>
              <w:t>±</w:t>
            </w:r>
          </w:p>
          <w:p w14:paraId="2D936526">
            <w:pPr>
              <w:pStyle w:val="240"/>
              <w:spacing w:before="116" w:line="387" w:lineRule="auto"/>
              <w:ind w:left="546" w:right="496" w:hanging="37"/>
              <w:rPr>
                <w:rFonts w:hint="eastAsia" w:ascii="宋体" w:hAnsi="宋体" w:eastAsia="宋体" w:cs="宋体"/>
                <w:spacing w:val="-9"/>
                <w:sz w:val="21"/>
                <w:szCs w:val="21"/>
                <w:lang w:eastAsia="zh-CN"/>
              </w:rPr>
            </w:pPr>
            <w:r>
              <w:rPr>
                <w:rFonts w:ascii="Arial" w:hAnsi="Arial" w:cs="Arial"/>
                <w:spacing w:val="-1"/>
                <w:sz w:val="21"/>
                <w:szCs w:val="21"/>
              </w:rPr>
              <w:t>mm</w:t>
            </w:r>
          </w:p>
        </w:tc>
        <w:tc>
          <w:tcPr>
            <w:tcW w:w="3131" w:type="dxa"/>
            <w:gridSpan w:val="2"/>
          </w:tcPr>
          <w:p w14:paraId="0A9C378D">
            <w:pPr>
              <w:spacing w:before="117" w:line="219" w:lineRule="auto"/>
              <w:ind w:left="618"/>
              <w:rPr>
                <w:rFonts w:hint="eastAsia" w:ascii="宋体" w:hAnsi="宋体" w:cs="宋体" w:eastAsiaTheme="minorEastAsia"/>
                <w:szCs w:val="21"/>
              </w:rPr>
            </w:pPr>
            <w:r>
              <w:rPr>
                <w:rFonts w:ascii="宋体" w:hAnsi="宋体" w:cs="宋体" w:eastAsiaTheme="minorEastAsia"/>
                <w:spacing w:val="-2"/>
                <w:szCs w:val="21"/>
              </w:rPr>
              <w:t>导体窄边标称尺寸</w:t>
            </w:r>
          </w:p>
        </w:tc>
        <w:tc>
          <w:tcPr>
            <w:tcW w:w="1624" w:type="dxa"/>
            <w:vMerge w:val="restart"/>
            <w:tcBorders>
              <w:bottom w:val="nil"/>
            </w:tcBorders>
          </w:tcPr>
          <w:p w14:paraId="260BE069">
            <w:pPr>
              <w:spacing w:before="118" w:line="222" w:lineRule="auto"/>
              <w:ind w:left="584"/>
              <w:rPr>
                <w:rFonts w:hint="eastAsia" w:ascii="宋体" w:hAnsi="宋体" w:cs="宋体" w:eastAsiaTheme="minorEastAsia"/>
                <w:szCs w:val="21"/>
              </w:rPr>
            </w:pPr>
            <w:r>
              <w:rPr>
                <w:rFonts w:ascii="宋体" w:hAnsi="宋体" w:cs="宋体" w:eastAsiaTheme="minorEastAsia"/>
                <w:spacing w:val="-5"/>
                <w:szCs w:val="21"/>
              </w:rPr>
              <w:t>公差</w:t>
            </w:r>
          </w:p>
          <w:p w14:paraId="30ACDADC">
            <w:pPr>
              <w:spacing w:before="179" w:line="235" w:lineRule="auto"/>
              <w:ind w:left="725"/>
              <w:rPr>
                <w:rFonts w:hint="eastAsia" w:ascii="宋体" w:hAnsi="宋体" w:cs="宋体" w:eastAsiaTheme="minorEastAsia"/>
                <w:szCs w:val="21"/>
              </w:rPr>
            </w:pPr>
            <w:r>
              <w:rPr>
                <w:rFonts w:ascii="宋体" w:hAnsi="宋体" w:cs="宋体" w:eastAsiaTheme="minorEastAsia"/>
                <w:szCs w:val="21"/>
              </w:rPr>
              <w:t>±</w:t>
            </w:r>
          </w:p>
          <w:p w14:paraId="72550508">
            <w:pPr>
              <w:pStyle w:val="240"/>
              <w:spacing w:before="199" w:line="235" w:lineRule="auto"/>
              <w:ind w:left="622"/>
              <w:rPr>
                <w:rFonts w:ascii="Arial" w:hAnsi="Arial" w:cs="Arial"/>
                <w:sz w:val="21"/>
                <w:szCs w:val="21"/>
              </w:rPr>
            </w:pPr>
            <w:r>
              <w:rPr>
                <w:rFonts w:ascii="Arial" w:hAnsi="Arial" w:cs="Arial"/>
                <w:spacing w:val="-1"/>
                <w:sz w:val="21"/>
                <w:szCs w:val="21"/>
              </w:rPr>
              <w:t>mm</w:t>
            </w:r>
          </w:p>
        </w:tc>
      </w:tr>
      <w:tr w14:paraId="74CA48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1444" w:type="dxa"/>
          </w:tcPr>
          <w:p w14:paraId="4E858032">
            <w:pPr>
              <w:spacing w:line="264" w:lineRule="auto"/>
              <w:rPr>
                <w:rFonts w:ascii="Arial" w:hAnsi="Arial" w:cs="Arial" w:eastAsiaTheme="minorEastAsia"/>
                <w:szCs w:val="21"/>
              </w:rPr>
            </w:pPr>
          </w:p>
          <w:p w14:paraId="7293D9B9">
            <w:pPr>
              <w:spacing w:before="78" w:line="220" w:lineRule="auto"/>
              <w:ind w:left="492"/>
              <w:rPr>
                <w:rFonts w:hint="eastAsia" w:ascii="宋体" w:hAnsi="宋体" w:cs="宋体" w:eastAsiaTheme="minorEastAsia"/>
                <w:szCs w:val="21"/>
              </w:rPr>
            </w:pPr>
            <w:r>
              <w:rPr>
                <w:rFonts w:ascii="宋体" w:hAnsi="宋体" w:cs="宋体" w:eastAsiaTheme="minorEastAsia"/>
                <w:spacing w:val="-4"/>
                <w:szCs w:val="21"/>
              </w:rPr>
              <w:t>大于</w:t>
            </w:r>
          </w:p>
        </w:tc>
        <w:tc>
          <w:tcPr>
            <w:tcW w:w="1512" w:type="dxa"/>
          </w:tcPr>
          <w:p w14:paraId="2D148D10">
            <w:pPr>
              <w:spacing w:line="263" w:lineRule="auto"/>
              <w:rPr>
                <w:rFonts w:ascii="Arial" w:hAnsi="Arial" w:cs="Arial" w:eastAsiaTheme="minorEastAsia"/>
                <w:szCs w:val="21"/>
              </w:rPr>
            </w:pPr>
          </w:p>
          <w:p w14:paraId="08746639">
            <w:pPr>
              <w:spacing w:before="78" w:line="220" w:lineRule="auto"/>
              <w:ind w:left="168"/>
              <w:rPr>
                <w:rFonts w:hint="eastAsia" w:ascii="宋体" w:hAnsi="宋体" w:cs="宋体" w:eastAsiaTheme="minorEastAsia"/>
                <w:szCs w:val="21"/>
              </w:rPr>
            </w:pPr>
            <w:r>
              <w:rPr>
                <w:rFonts w:ascii="宋体" w:hAnsi="宋体" w:cs="宋体" w:eastAsiaTheme="minorEastAsia"/>
                <w:spacing w:val="-3"/>
                <w:szCs w:val="21"/>
              </w:rPr>
              <w:t>小于或等于</w:t>
            </w:r>
          </w:p>
        </w:tc>
        <w:tc>
          <w:tcPr>
            <w:tcW w:w="1475" w:type="dxa"/>
            <w:vMerge w:val="continue"/>
            <w:tcBorders>
              <w:top w:val="nil"/>
            </w:tcBorders>
          </w:tcPr>
          <w:p w14:paraId="74825027">
            <w:pPr>
              <w:rPr>
                <w:rFonts w:ascii="Arial" w:hAnsi="Arial" w:cs="Arial" w:eastAsiaTheme="minorEastAsia"/>
                <w:szCs w:val="21"/>
              </w:rPr>
            </w:pPr>
          </w:p>
        </w:tc>
        <w:tc>
          <w:tcPr>
            <w:tcW w:w="1475" w:type="dxa"/>
          </w:tcPr>
          <w:p w14:paraId="4649D1E4">
            <w:pPr>
              <w:spacing w:line="264" w:lineRule="auto"/>
              <w:rPr>
                <w:rFonts w:ascii="Arial" w:hAnsi="Arial" w:cs="Arial" w:eastAsiaTheme="minorEastAsia"/>
                <w:szCs w:val="21"/>
              </w:rPr>
            </w:pPr>
          </w:p>
          <w:p w14:paraId="1905FD0F">
            <w:pPr>
              <w:spacing w:before="78" w:line="220" w:lineRule="auto"/>
              <w:ind w:left="506"/>
              <w:rPr>
                <w:rFonts w:hint="eastAsia" w:ascii="宋体" w:hAnsi="宋体" w:cs="宋体" w:eastAsiaTheme="minorEastAsia"/>
                <w:szCs w:val="21"/>
              </w:rPr>
            </w:pPr>
            <w:r>
              <w:rPr>
                <w:rFonts w:ascii="宋体" w:hAnsi="宋体" w:cs="宋体" w:eastAsiaTheme="minorEastAsia"/>
                <w:spacing w:val="-4"/>
                <w:szCs w:val="21"/>
              </w:rPr>
              <w:t>大于</w:t>
            </w:r>
          </w:p>
        </w:tc>
        <w:tc>
          <w:tcPr>
            <w:tcW w:w="1656" w:type="dxa"/>
          </w:tcPr>
          <w:p w14:paraId="15C9EB23">
            <w:pPr>
              <w:spacing w:line="263" w:lineRule="auto"/>
              <w:rPr>
                <w:rFonts w:ascii="Arial" w:hAnsi="Arial" w:cs="Arial" w:eastAsiaTheme="minorEastAsia"/>
                <w:szCs w:val="21"/>
              </w:rPr>
            </w:pPr>
          </w:p>
          <w:p w14:paraId="7E4E6A83">
            <w:pPr>
              <w:spacing w:before="78" w:line="220" w:lineRule="auto"/>
              <w:ind w:left="243"/>
              <w:rPr>
                <w:rFonts w:hint="eastAsia" w:ascii="宋体" w:hAnsi="宋体" w:cs="宋体" w:eastAsiaTheme="minorEastAsia"/>
                <w:szCs w:val="21"/>
              </w:rPr>
            </w:pPr>
            <w:r>
              <w:rPr>
                <w:rFonts w:ascii="宋体" w:hAnsi="宋体" w:cs="宋体" w:eastAsiaTheme="minorEastAsia"/>
                <w:spacing w:val="-3"/>
                <w:szCs w:val="21"/>
              </w:rPr>
              <w:t>小于或等于</w:t>
            </w:r>
          </w:p>
        </w:tc>
        <w:tc>
          <w:tcPr>
            <w:tcW w:w="1624" w:type="dxa"/>
            <w:vMerge w:val="continue"/>
            <w:tcBorders>
              <w:top w:val="nil"/>
            </w:tcBorders>
          </w:tcPr>
          <w:p w14:paraId="21592AC3">
            <w:pPr>
              <w:rPr>
                <w:rFonts w:ascii="Arial" w:hAnsi="Arial" w:cs="Arial" w:eastAsiaTheme="minorEastAsia"/>
                <w:szCs w:val="21"/>
              </w:rPr>
            </w:pPr>
          </w:p>
        </w:tc>
      </w:tr>
      <w:tr w14:paraId="0E6C90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444" w:type="dxa"/>
            <w:tcBorders>
              <w:bottom w:val="nil"/>
            </w:tcBorders>
          </w:tcPr>
          <w:p w14:paraId="0F47FE18">
            <w:pPr>
              <w:pStyle w:val="240"/>
              <w:spacing w:before="255" w:line="115" w:lineRule="exact"/>
              <w:ind w:left="688"/>
              <w:rPr>
                <w:rFonts w:ascii="Arial" w:hAnsi="Arial" w:cs="Arial"/>
                <w:sz w:val="21"/>
                <w:szCs w:val="21"/>
              </w:rPr>
            </w:pPr>
            <w:r>
              <w:rPr>
                <w:rFonts w:ascii="Arial" w:hAnsi="Arial" w:cs="Arial"/>
                <w:position w:val="-7"/>
                <w:sz w:val="21"/>
                <w:szCs w:val="21"/>
              </w:rPr>
              <w:t>-</w:t>
            </w:r>
          </w:p>
        </w:tc>
        <w:tc>
          <w:tcPr>
            <w:tcW w:w="1512" w:type="dxa"/>
            <w:tcBorders>
              <w:bottom w:val="nil"/>
            </w:tcBorders>
          </w:tcPr>
          <w:p w14:paraId="57EBA992">
            <w:pPr>
              <w:pStyle w:val="240"/>
              <w:spacing w:before="156" w:line="186" w:lineRule="auto"/>
              <w:ind w:left="550"/>
              <w:rPr>
                <w:rFonts w:ascii="Arial" w:hAnsi="Arial" w:cs="Arial"/>
                <w:sz w:val="21"/>
                <w:szCs w:val="21"/>
              </w:rPr>
            </w:pPr>
            <w:r>
              <w:rPr>
                <w:rFonts w:ascii="Arial" w:hAnsi="Arial" w:cs="Arial"/>
                <w:spacing w:val="-2"/>
                <w:sz w:val="21"/>
                <w:szCs w:val="21"/>
              </w:rPr>
              <w:t>3.15</w:t>
            </w:r>
          </w:p>
        </w:tc>
        <w:tc>
          <w:tcPr>
            <w:tcW w:w="1475" w:type="dxa"/>
            <w:tcBorders>
              <w:bottom w:val="nil"/>
            </w:tcBorders>
          </w:tcPr>
          <w:p w14:paraId="06D5317D">
            <w:pPr>
              <w:pStyle w:val="240"/>
              <w:spacing w:before="114" w:line="236" w:lineRule="auto"/>
              <w:ind w:left="144"/>
              <w:jc w:val="center"/>
              <w:rPr>
                <w:rFonts w:ascii="Arial" w:hAnsi="Arial" w:cs="Arial"/>
                <w:sz w:val="21"/>
                <w:szCs w:val="21"/>
                <w:lang w:eastAsia="zh-CN"/>
              </w:rPr>
            </w:pPr>
            <w:r>
              <w:rPr>
                <w:rFonts w:ascii="Arial" w:hAnsi="Arial" w:cs="Arial"/>
                <w:spacing w:val="-2"/>
                <w:sz w:val="21"/>
                <w:szCs w:val="21"/>
              </w:rPr>
              <w:t>0.030</w:t>
            </w:r>
          </w:p>
        </w:tc>
        <w:tc>
          <w:tcPr>
            <w:tcW w:w="1475" w:type="dxa"/>
            <w:tcBorders>
              <w:bottom w:val="nil"/>
            </w:tcBorders>
          </w:tcPr>
          <w:p w14:paraId="3BD84E05">
            <w:pPr>
              <w:pStyle w:val="240"/>
              <w:spacing w:before="255" w:line="115" w:lineRule="exact"/>
              <w:ind w:left="705"/>
              <w:rPr>
                <w:rFonts w:ascii="Arial" w:hAnsi="Arial" w:cs="Arial"/>
                <w:sz w:val="21"/>
                <w:szCs w:val="21"/>
              </w:rPr>
            </w:pPr>
            <w:r>
              <w:rPr>
                <w:rFonts w:ascii="Arial" w:hAnsi="Arial" w:cs="Arial"/>
                <w:position w:val="-7"/>
                <w:sz w:val="21"/>
                <w:szCs w:val="21"/>
              </w:rPr>
              <w:t>-</w:t>
            </w:r>
          </w:p>
        </w:tc>
        <w:tc>
          <w:tcPr>
            <w:tcW w:w="1656" w:type="dxa"/>
            <w:tcBorders>
              <w:bottom w:val="nil"/>
            </w:tcBorders>
          </w:tcPr>
          <w:p w14:paraId="7435E5D6">
            <w:pPr>
              <w:pStyle w:val="240"/>
              <w:spacing w:before="156" w:line="186" w:lineRule="auto"/>
              <w:ind w:left="625"/>
              <w:rPr>
                <w:rFonts w:ascii="Arial" w:hAnsi="Arial" w:cs="Arial"/>
                <w:sz w:val="21"/>
                <w:szCs w:val="21"/>
              </w:rPr>
            </w:pPr>
            <w:r>
              <w:rPr>
                <w:rFonts w:ascii="Arial" w:hAnsi="Arial" w:cs="Arial"/>
                <w:spacing w:val="-2"/>
                <w:sz w:val="21"/>
                <w:szCs w:val="21"/>
              </w:rPr>
              <w:t>3.15</w:t>
            </w:r>
          </w:p>
        </w:tc>
        <w:tc>
          <w:tcPr>
            <w:tcW w:w="1624" w:type="dxa"/>
            <w:tcBorders>
              <w:bottom w:val="nil"/>
            </w:tcBorders>
          </w:tcPr>
          <w:p w14:paraId="52BF42A5">
            <w:pPr>
              <w:pStyle w:val="240"/>
              <w:spacing w:before="156" w:line="186" w:lineRule="auto"/>
              <w:ind w:left="547"/>
              <w:rPr>
                <w:rFonts w:ascii="Arial" w:hAnsi="Arial" w:cs="Arial"/>
                <w:sz w:val="21"/>
                <w:szCs w:val="21"/>
              </w:rPr>
            </w:pPr>
            <w:r>
              <w:rPr>
                <w:rFonts w:ascii="Arial" w:hAnsi="Arial" w:cs="Arial"/>
                <w:spacing w:val="-2"/>
                <w:sz w:val="21"/>
                <w:szCs w:val="21"/>
              </w:rPr>
              <w:t>0.030</w:t>
            </w:r>
          </w:p>
        </w:tc>
      </w:tr>
      <w:tr w14:paraId="5D2EFB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444" w:type="dxa"/>
            <w:tcBorders>
              <w:top w:val="nil"/>
              <w:bottom w:val="nil"/>
            </w:tcBorders>
          </w:tcPr>
          <w:p w14:paraId="75E3FF30">
            <w:pPr>
              <w:pStyle w:val="240"/>
              <w:spacing w:before="159" w:line="186" w:lineRule="auto"/>
              <w:ind w:left="518"/>
              <w:rPr>
                <w:rFonts w:ascii="Arial" w:hAnsi="Arial" w:cs="Arial"/>
                <w:sz w:val="21"/>
                <w:szCs w:val="21"/>
              </w:rPr>
            </w:pPr>
            <w:r>
              <w:rPr>
                <w:rFonts w:ascii="Arial" w:hAnsi="Arial" w:cs="Arial"/>
                <w:spacing w:val="-2"/>
                <w:sz w:val="21"/>
                <w:szCs w:val="21"/>
              </w:rPr>
              <w:t>3.15</w:t>
            </w:r>
          </w:p>
        </w:tc>
        <w:tc>
          <w:tcPr>
            <w:tcW w:w="1512" w:type="dxa"/>
            <w:tcBorders>
              <w:top w:val="nil"/>
              <w:bottom w:val="nil"/>
            </w:tcBorders>
          </w:tcPr>
          <w:p w14:paraId="46C1C368">
            <w:pPr>
              <w:pStyle w:val="240"/>
              <w:spacing w:before="159" w:line="186" w:lineRule="auto"/>
              <w:ind w:left="550"/>
              <w:rPr>
                <w:rFonts w:ascii="Arial" w:hAnsi="Arial" w:cs="Arial"/>
                <w:sz w:val="21"/>
                <w:szCs w:val="21"/>
              </w:rPr>
            </w:pPr>
            <w:r>
              <w:rPr>
                <w:rFonts w:ascii="Arial" w:hAnsi="Arial" w:cs="Arial"/>
                <w:spacing w:val="-2"/>
                <w:sz w:val="21"/>
                <w:szCs w:val="21"/>
              </w:rPr>
              <w:t>6.30</w:t>
            </w:r>
          </w:p>
        </w:tc>
        <w:tc>
          <w:tcPr>
            <w:tcW w:w="1475" w:type="dxa"/>
            <w:tcBorders>
              <w:top w:val="nil"/>
              <w:bottom w:val="nil"/>
            </w:tcBorders>
          </w:tcPr>
          <w:p w14:paraId="12724713">
            <w:pPr>
              <w:pStyle w:val="240"/>
              <w:spacing w:before="117" w:line="236" w:lineRule="auto"/>
              <w:ind w:left="144"/>
              <w:jc w:val="center"/>
              <w:rPr>
                <w:rFonts w:ascii="Arial" w:hAnsi="Arial" w:cs="Arial"/>
                <w:sz w:val="21"/>
                <w:szCs w:val="21"/>
              </w:rPr>
            </w:pPr>
            <w:r>
              <w:rPr>
                <w:rFonts w:ascii="Arial" w:hAnsi="Arial" w:cs="Arial"/>
                <w:spacing w:val="-2"/>
                <w:sz w:val="21"/>
                <w:szCs w:val="21"/>
              </w:rPr>
              <w:t>0.050</w:t>
            </w:r>
          </w:p>
        </w:tc>
        <w:tc>
          <w:tcPr>
            <w:tcW w:w="1475" w:type="dxa"/>
            <w:tcBorders>
              <w:top w:val="nil"/>
              <w:bottom w:val="nil"/>
            </w:tcBorders>
          </w:tcPr>
          <w:p w14:paraId="451D52A8">
            <w:pPr>
              <w:pStyle w:val="240"/>
              <w:spacing w:before="159" w:line="186" w:lineRule="auto"/>
              <w:ind w:left="535"/>
              <w:rPr>
                <w:rFonts w:ascii="Arial" w:hAnsi="Arial" w:cs="Arial"/>
                <w:sz w:val="21"/>
                <w:szCs w:val="21"/>
              </w:rPr>
            </w:pPr>
            <w:r>
              <w:rPr>
                <w:rFonts w:ascii="Arial" w:hAnsi="Arial" w:cs="Arial"/>
                <w:spacing w:val="-2"/>
                <w:sz w:val="21"/>
                <w:szCs w:val="21"/>
              </w:rPr>
              <w:t>3.15</w:t>
            </w:r>
          </w:p>
        </w:tc>
        <w:tc>
          <w:tcPr>
            <w:tcW w:w="1656" w:type="dxa"/>
            <w:tcBorders>
              <w:top w:val="nil"/>
              <w:bottom w:val="nil"/>
            </w:tcBorders>
          </w:tcPr>
          <w:p w14:paraId="10F8DE10">
            <w:pPr>
              <w:pStyle w:val="240"/>
              <w:spacing w:before="159" w:line="186" w:lineRule="auto"/>
              <w:ind w:left="625"/>
              <w:rPr>
                <w:rFonts w:ascii="Arial" w:hAnsi="Arial" w:cs="Arial"/>
                <w:sz w:val="21"/>
                <w:szCs w:val="21"/>
              </w:rPr>
            </w:pPr>
            <w:r>
              <w:rPr>
                <w:rFonts w:ascii="Arial" w:hAnsi="Arial" w:cs="Arial"/>
                <w:spacing w:val="-2"/>
                <w:sz w:val="21"/>
                <w:szCs w:val="21"/>
              </w:rPr>
              <w:t>6.30</w:t>
            </w:r>
          </w:p>
        </w:tc>
        <w:tc>
          <w:tcPr>
            <w:tcW w:w="1624" w:type="dxa"/>
            <w:tcBorders>
              <w:top w:val="nil"/>
              <w:bottom w:val="nil"/>
            </w:tcBorders>
          </w:tcPr>
          <w:p w14:paraId="366BB5EC">
            <w:pPr>
              <w:pStyle w:val="240"/>
              <w:spacing w:before="159" w:line="186" w:lineRule="auto"/>
              <w:ind w:left="547"/>
              <w:rPr>
                <w:rFonts w:ascii="Arial" w:hAnsi="Arial" w:cs="Arial"/>
                <w:sz w:val="21"/>
                <w:szCs w:val="21"/>
              </w:rPr>
            </w:pPr>
            <w:r>
              <w:rPr>
                <w:rFonts w:ascii="Arial" w:hAnsi="Arial" w:cs="Arial"/>
                <w:spacing w:val="-2"/>
                <w:sz w:val="21"/>
                <w:szCs w:val="21"/>
              </w:rPr>
              <w:t>0.050</w:t>
            </w:r>
          </w:p>
        </w:tc>
      </w:tr>
      <w:tr w14:paraId="29332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444" w:type="dxa"/>
            <w:tcBorders>
              <w:top w:val="nil"/>
              <w:bottom w:val="nil"/>
            </w:tcBorders>
          </w:tcPr>
          <w:p w14:paraId="6E7BABA4">
            <w:pPr>
              <w:pStyle w:val="240"/>
              <w:spacing w:before="160" w:line="186" w:lineRule="auto"/>
              <w:ind w:left="518"/>
              <w:rPr>
                <w:rFonts w:ascii="Arial" w:hAnsi="Arial" w:cs="Arial"/>
                <w:sz w:val="21"/>
                <w:szCs w:val="21"/>
              </w:rPr>
            </w:pPr>
            <w:r>
              <w:rPr>
                <w:rFonts w:ascii="Arial" w:hAnsi="Arial" w:cs="Arial"/>
                <w:spacing w:val="-2"/>
                <w:sz w:val="21"/>
                <w:szCs w:val="21"/>
              </w:rPr>
              <w:t>6.30</w:t>
            </w:r>
          </w:p>
        </w:tc>
        <w:tc>
          <w:tcPr>
            <w:tcW w:w="1512" w:type="dxa"/>
            <w:tcBorders>
              <w:top w:val="nil"/>
              <w:bottom w:val="nil"/>
            </w:tcBorders>
          </w:tcPr>
          <w:p w14:paraId="19749EB4">
            <w:pPr>
              <w:pStyle w:val="240"/>
              <w:spacing w:before="160" w:line="186" w:lineRule="auto"/>
              <w:ind w:left="568"/>
              <w:rPr>
                <w:rFonts w:ascii="Arial" w:hAnsi="Arial" w:cs="Arial"/>
                <w:sz w:val="21"/>
                <w:szCs w:val="21"/>
              </w:rPr>
            </w:pPr>
            <w:r>
              <w:rPr>
                <w:rFonts w:ascii="Arial" w:hAnsi="Arial" w:cs="Arial"/>
                <w:spacing w:val="-6"/>
                <w:sz w:val="21"/>
                <w:szCs w:val="21"/>
              </w:rPr>
              <w:t>12.5</w:t>
            </w:r>
          </w:p>
        </w:tc>
        <w:tc>
          <w:tcPr>
            <w:tcW w:w="1475" w:type="dxa"/>
            <w:tcBorders>
              <w:top w:val="nil"/>
              <w:bottom w:val="nil"/>
            </w:tcBorders>
          </w:tcPr>
          <w:p w14:paraId="29F91710">
            <w:pPr>
              <w:pStyle w:val="240"/>
              <w:spacing w:before="118" w:line="236" w:lineRule="auto"/>
              <w:ind w:left="144"/>
              <w:jc w:val="center"/>
              <w:rPr>
                <w:rFonts w:ascii="Arial" w:hAnsi="Arial" w:cs="Arial" w:eastAsiaTheme="minorEastAsia"/>
                <w:sz w:val="21"/>
                <w:szCs w:val="21"/>
                <w:lang w:eastAsia="zh-CN"/>
              </w:rPr>
            </w:pPr>
            <w:r>
              <w:rPr>
                <w:rFonts w:ascii="Arial" w:hAnsi="Arial" w:cs="Arial"/>
                <w:spacing w:val="-2"/>
                <w:sz w:val="21"/>
                <w:szCs w:val="21"/>
              </w:rPr>
              <w:t>0.07</w:t>
            </w:r>
            <w:r>
              <w:rPr>
                <w:rFonts w:hint="eastAsia" w:ascii="Arial" w:hAnsi="Arial" w:cs="Arial" w:eastAsiaTheme="minorEastAsia"/>
                <w:spacing w:val="-2"/>
                <w:sz w:val="21"/>
                <w:szCs w:val="21"/>
                <w:lang w:eastAsia="zh-CN"/>
              </w:rPr>
              <w:t>0</w:t>
            </w:r>
          </w:p>
        </w:tc>
        <w:tc>
          <w:tcPr>
            <w:tcW w:w="1475" w:type="dxa"/>
            <w:tcBorders>
              <w:top w:val="nil"/>
              <w:bottom w:val="nil"/>
            </w:tcBorders>
          </w:tcPr>
          <w:p w14:paraId="53F69914">
            <w:pPr>
              <w:pStyle w:val="240"/>
              <w:spacing w:before="160" w:line="186" w:lineRule="auto"/>
              <w:ind w:left="536"/>
              <w:rPr>
                <w:rFonts w:ascii="Arial" w:hAnsi="Arial" w:cs="Arial"/>
                <w:sz w:val="21"/>
                <w:szCs w:val="21"/>
              </w:rPr>
            </w:pPr>
            <w:r>
              <w:rPr>
                <w:rFonts w:ascii="Arial" w:hAnsi="Arial" w:cs="Arial"/>
                <w:spacing w:val="-2"/>
                <w:sz w:val="21"/>
                <w:szCs w:val="21"/>
              </w:rPr>
              <w:t>6.30</w:t>
            </w:r>
          </w:p>
        </w:tc>
        <w:tc>
          <w:tcPr>
            <w:tcW w:w="1656" w:type="dxa"/>
            <w:tcBorders>
              <w:top w:val="nil"/>
              <w:bottom w:val="nil"/>
            </w:tcBorders>
          </w:tcPr>
          <w:p w14:paraId="365B6D0E">
            <w:pPr>
              <w:pStyle w:val="240"/>
              <w:spacing w:before="160" w:line="186" w:lineRule="auto"/>
              <w:ind w:left="643"/>
              <w:rPr>
                <w:rFonts w:ascii="Arial" w:hAnsi="Arial" w:cs="Arial"/>
                <w:sz w:val="21"/>
                <w:szCs w:val="21"/>
              </w:rPr>
            </w:pPr>
            <w:r>
              <w:rPr>
                <w:rFonts w:ascii="Arial" w:hAnsi="Arial" w:cs="Arial"/>
                <w:spacing w:val="-6"/>
                <w:sz w:val="21"/>
                <w:szCs w:val="21"/>
              </w:rPr>
              <w:t>12.5</w:t>
            </w:r>
          </w:p>
        </w:tc>
        <w:tc>
          <w:tcPr>
            <w:tcW w:w="1624" w:type="dxa"/>
            <w:tcBorders>
              <w:top w:val="nil"/>
              <w:bottom w:val="nil"/>
            </w:tcBorders>
          </w:tcPr>
          <w:p w14:paraId="6C73954A">
            <w:pPr>
              <w:pStyle w:val="240"/>
              <w:spacing w:before="160" w:line="186" w:lineRule="auto"/>
              <w:ind w:left="547"/>
              <w:rPr>
                <w:rFonts w:ascii="Arial" w:hAnsi="Arial" w:cs="Arial" w:eastAsiaTheme="minorEastAsia"/>
                <w:sz w:val="21"/>
                <w:szCs w:val="21"/>
                <w:lang w:eastAsia="zh-CN"/>
              </w:rPr>
            </w:pPr>
            <w:r>
              <w:rPr>
                <w:rFonts w:ascii="Arial" w:hAnsi="Arial" w:cs="Arial"/>
                <w:spacing w:val="-2"/>
                <w:sz w:val="21"/>
                <w:szCs w:val="21"/>
              </w:rPr>
              <w:t>0.07</w:t>
            </w:r>
            <w:r>
              <w:rPr>
                <w:rFonts w:hint="eastAsia" w:ascii="Arial" w:hAnsi="Arial" w:cs="Arial" w:eastAsiaTheme="minorEastAsia"/>
                <w:spacing w:val="-2"/>
                <w:sz w:val="21"/>
                <w:szCs w:val="21"/>
                <w:lang w:eastAsia="zh-CN"/>
              </w:rPr>
              <w:t>0</w:t>
            </w:r>
          </w:p>
        </w:tc>
      </w:tr>
      <w:tr w14:paraId="599BB1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444" w:type="dxa"/>
            <w:tcBorders>
              <w:top w:val="nil"/>
            </w:tcBorders>
          </w:tcPr>
          <w:p w14:paraId="2A10175E">
            <w:pPr>
              <w:pStyle w:val="240"/>
              <w:spacing w:before="161" w:line="186" w:lineRule="auto"/>
              <w:ind w:left="536"/>
              <w:rPr>
                <w:rFonts w:ascii="Arial" w:hAnsi="Arial" w:cs="Arial"/>
                <w:sz w:val="21"/>
                <w:szCs w:val="21"/>
              </w:rPr>
            </w:pPr>
            <w:r>
              <w:rPr>
                <w:rFonts w:ascii="Arial" w:hAnsi="Arial" w:cs="Arial"/>
                <w:spacing w:val="-6"/>
                <w:sz w:val="21"/>
                <w:szCs w:val="21"/>
              </w:rPr>
              <w:t>12.5</w:t>
            </w:r>
          </w:p>
        </w:tc>
        <w:tc>
          <w:tcPr>
            <w:tcW w:w="1512" w:type="dxa"/>
            <w:tcBorders>
              <w:top w:val="nil"/>
            </w:tcBorders>
          </w:tcPr>
          <w:p w14:paraId="465D2872">
            <w:pPr>
              <w:pStyle w:val="240"/>
              <w:spacing w:before="161" w:line="186" w:lineRule="auto"/>
              <w:ind w:left="508"/>
              <w:rPr>
                <w:rFonts w:ascii="Arial" w:hAnsi="Arial" w:cs="Arial"/>
                <w:sz w:val="21"/>
                <w:szCs w:val="21"/>
              </w:rPr>
            </w:pPr>
            <w:r>
              <w:rPr>
                <w:rFonts w:ascii="Arial" w:hAnsi="Arial" w:cs="Arial"/>
                <w:spacing w:val="-6"/>
                <w:sz w:val="21"/>
                <w:szCs w:val="21"/>
              </w:rPr>
              <w:t>16.00</w:t>
            </w:r>
          </w:p>
        </w:tc>
        <w:tc>
          <w:tcPr>
            <w:tcW w:w="1475" w:type="dxa"/>
            <w:tcBorders>
              <w:top w:val="nil"/>
            </w:tcBorders>
          </w:tcPr>
          <w:p w14:paraId="7EE57933">
            <w:pPr>
              <w:pStyle w:val="240"/>
              <w:spacing w:before="119" w:line="236" w:lineRule="auto"/>
              <w:ind w:left="204"/>
              <w:jc w:val="center"/>
              <w:rPr>
                <w:rFonts w:ascii="Arial" w:hAnsi="Arial" w:cs="Arial"/>
                <w:sz w:val="21"/>
                <w:szCs w:val="21"/>
              </w:rPr>
            </w:pPr>
            <w:r>
              <w:rPr>
                <w:rFonts w:ascii="Arial" w:hAnsi="Arial" w:cs="Arial"/>
                <w:spacing w:val="-2"/>
                <w:sz w:val="21"/>
                <w:szCs w:val="21"/>
              </w:rPr>
              <w:t>0.10</w:t>
            </w:r>
          </w:p>
        </w:tc>
        <w:tc>
          <w:tcPr>
            <w:tcW w:w="1475" w:type="dxa"/>
            <w:tcBorders>
              <w:top w:val="nil"/>
            </w:tcBorders>
          </w:tcPr>
          <w:p w14:paraId="446786EC">
            <w:pPr>
              <w:pStyle w:val="240"/>
              <w:spacing w:before="161" w:line="186" w:lineRule="auto"/>
              <w:ind w:left="553"/>
              <w:rPr>
                <w:rFonts w:ascii="Arial" w:hAnsi="Arial" w:cs="Arial"/>
                <w:sz w:val="21"/>
                <w:szCs w:val="21"/>
              </w:rPr>
            </w:pPr>
            <w:r>
              <w:rPr>
                <w:rFonts w:ascii="Arial" w:hAnsi="Arial" w:cs="Arial"/>
                <w:spacing w:val="-6"/>
                <w:sz w:val="21"/>
                <w:szCs w:val="21"/>
              </w:rPr>
              <w:t>12.5</w:t>
            </w:r>
          </w:p>
        </w:tc>
        <w:tc>
          <w:tcPr>
            <w:tcW w:w="1656" w:type="dxa"/>
            <w:tcBorders>
              <w:top w:val="nil"/>
            </w:tcBorders>
          </w:tcPr>
          <w:p w14:paraId="52AFED11">
            <w:pPr>
              <w:pStyle w:val="240"/>
              <w:spacing w:before="161" w:line="186" w:lineRule="auto"/>
              <w:ind w:left="583"/>
              <w:rPr>
                <w:rFonts w:ascii="Arial" w:hAnsi="Arial" w:cs="Arial"/>
                <w:sz w:val="21"/>
                <w:szCs w:val="21"/>
              </w:rPr>
            </w:pPr>
            <w:r>
              <w:rPr>
                <w:rFonts w:ascii="Arial" w:hAnsi="Arial" w:cs="Arial"/>
                <w:spacing w:val="-5"/>
                <w:sz w:val="21"/>
                <w:szCs w:val="21"/>
              </w:rPr>
              <w:t>16.00</w:t>
            </w:r>
          </w:p>
        </w:tc>
        <w:tc>
          <w:tcPr>
            <w:tcW w:w="1624" w:type="dxa"/>
            <w:tcBorders>
              <w:top w:val="nil"/>
            </w:tcBorders>
          </w:tcPr>
          <w:p w14:paraId="42267D24">
            <w:pPr>
              <w:pStyle w:val="240"/>
              <w:spacing w:before="161" w:line="186" w:lineRule="auto"/>
              <w:ind w:left="607"/>
              <w:rPr>
                <w:rFonts w:ascii="Arial" w:hAnsi="Arial" w:cs="Arial"/>
                <w:sz w:val="21"/>
                <w:szCs w:val="21"/>
              </w:rPr>
            </w:pPr>
            <w:r>
              <w:rPr>
                <w:rFonts w:ascii="Arial" w:hAnsi="Arial" w:cs="Arial"/>
                <w:spacing w:val="-2"/>
                <w:sz w:val="21"/>
                <w:szCs w:val="21"/>
              </w:rPr>
              <w:t>0.10</w:t>
            </w:r>
          </w:p>
        </w:tc>
      </w:tr>
    </w:tbl>
    <w:p w14:paraId="0D6B24BB">
      <w:pPr>
        <w:pStyle w:val="59"/>
      </w:pPr>
      <w:r>
        <w:rPr>
          <w:rFonts w:hint="eastAsia"/>
        </w:rPr>
        <w:t>5.2.2导体尺寸偏差</w:t>
      </w:r>
    </w:p>
    <w:p w14:paraId="746ACBDA">
      <w:pPr>
        <w:topLinePunct/>
        <w:spacing w:line="312" w:lineRule="exact"/>
        <w:ind w:firstLine="420" w:firstLineChars="200"/>
        <w:rPr>
          <w:rFonts w:ascii="EU-F1"/>
          <w:snapToGrid w:val="0"/>
          <w:szCs w:val="21"/>
        </w:rPr>
      </w:pPr>
      <w:r>
        <w:rPr>
          <w:rFonts w:ascii="EU-F1"/>
          <w:snapToGrid w:val="0"/>
          <w:szCs w:val="21"/>
        </w:rPr>
        <w:t>导体尺寸与其标称值之差应不大于表 1 规定的公差</w:t>
      </w:r>
      <w:r>
        <w:rPr>
          <w:rFonts w:hint="eastAsia" w:ascii="EU-F1"/>
          <w:snapToGrid w:val="0"/>
          <w:szCs w:val="21"/>
        </w:rPr>
        <w:t>，本批次要求</w:t>
      </w:r>
      <w:r>
        <w:rPr>
          <w:rFonts w:ascii="EU-F1"/>
          <w:snapToGrid w:val="0"/>
          <w:szCs w:val="21"/>
        </w:rPr>
        <w:t>0</w:t>
      </w:r>
      <w:r>
        <w:rPr>
          <w:rFonts w:hint="eastAsia" w:ascii="EU-F1"/>
          <w:snapToGrid w:val="0"/>
          <w:szCs w:val="21"/>
        </w:rPr>
        <w:t xml:space="preserve"> ~ </w:t>
      </w:r>
      <w:r>
        <w:rPr>
          <w:rFonts w:ascii="EU-F1"/>
          <w:snapToGrid w:val="0"/>
          <w:szCs w:val="21"/>
        </w:rPr>
        <w:t>0.0</w:t>
      </w:r>
      <w:r>
        <w:rPr>
          <w:rFonts w:hint="eastAsia" w:ascii="EU-F1"/>
          <w:snapToGrid w:val="0"/>
          <w:szCs w:val="21"/>
        </w:rPr>
        <w:t>2</w:t>
      </w:r>
      <w:r>
        <w:rPr>
          <w:rFonts w:ascii="EU-F1"/>
          <w:snapToGrid w:val="0"/>
          <w:szCs w:val="21"/>
        </w:rPr>
        <w:t>0</w:t>
      </w:r>
      <w:r>
        <w:rPr>
          <w:rFonts w:hint="eastAsia" w:ascii="EU-F1"/>
          <w:snapToGrid w:val="0"/>
          <w:szCs w:val="21"/>
        </w:rPr>
        <w:t>mm</w:t>
      </w:r>
      <w:r>
        <w:rPr>
          <w:rFonts w:ascii="EU-F1"/>
          <w:snapToGrid w:val="0"/>
          <w:szCs w:val="21"/>
        </w:rPr>
        <w:t>。</w:t>
      </w:r>
    </w:p>
    <w:p w14:paraId="15A245FD">
      <w:pPr>
        <w:pStyle w:val="59"/>
      </w:pPr>
      <w:bookmarkStart w:id="8" w:name="OLE_LINK2"/>
      <w:r>
        <w:rPr>
          <w:rFonts w:hint="eastAsia"/>
        </w:rPr>
        <w:t>5.2.3圆角</w:t>
      </w:r>
    </w:p>
    <w:bookmarkEnd w:id="8"/>
    <w:p w14:paraId="052AAB1D">
      <w:pPr>
        <w:topLinePunct/>
        <w:spacing w:line="312" w:lineRule="exact"/>
        <w:ind w:firstLine="420" w:firstLineChars="200"/>
        <w:rPr>
          <w:rFonts w:ascii="EU-F1"/>
          <w:snapToGrid w:val="0"/>
          <w:szCs w:val="21"/>
        </w:rPr>
      </w:pPr>
      <w:r>
        <w:rPr>
          <w:rFonts w:ascii="EU-F1"/>
          <w:snapToGrid w:val="0"/>
          <w:szCs w:val="21"/>
        </w:rPr>
        <w:t>圆弧与导体扁平表面的连接应平滑，并且扁线应无锐角、毛边和凸缘。导体圆角半径应符合表 2 规定，规定的半径应保持在±25%公差范围内。</w:t>
      </w:r>
    </w:p>
    <w:p w14:paraId="50F31FB2">
      <w:pPr>
        <w:pStyle w:val="17"/>
        <w:spacing w:before="34" w:line="219" w:lineRule="auto"/>
        <w:ind w:left="3690" w:firstLine="328"/>
      </w:pPr>
      <w:r>
        <w:rPr>
          <w:spacing w:val="-8"/>
        </w:rPr>
        <w:t>表</w:t>
      </w:r>
      <w:r>
        <w:rPr>
          <w:spacing w:val="-44"/>
        </w:rPr>
        <w:t xml:space="preserve"> </w:t>
      </w:r>
      <w:r>
        <w:rPr>
          <w:spacing w:val="-8"/>
        </w:rPr>
        <w:t>2</w:t>
      </w:r>
      <w:r>
        <w:rPr>
          <w:spacing w:val="29"/>
        </w:rPr>
        <w:t xml:space="preserve"> </w:t>
      </w:r>
      <w:r>
        <w:rPr>
          <w:spacing w:val="-8"/>
        </w:rPr>
        <w:t>圆角半径</w:t>
      </w:r>
    </w:p>
    <w:p w14:paraId="1A13D74B">
      <w:pPr>
        <w:spacing w:line="70" w:lineRule="exact"/>
      </w:pPr>
    </w:p>
    <w:tbl>
      <w:tblPr>
        <w:tblStyle w:val="239"/>
        <w:tblW w:w="88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48"/>
        <w:gridCol w:w="2945"/>
        <w:gridCol w:w="2949"/>
      </w:tblGrid>
      <w:tr w14:paraId="2CC983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5893" w:type="dxa"/>
            <w:gridSpan w:val="2"/>
          </w:tcPr>
          <w:p w14:paraId="063713BE">
            <w:pPr>
              <w:pStyle w:val="240"/>
              <w:spacing w:before="118" w:line="333" w:lineRule="auto"/>
              <w:ind w:left="2766" w:right="1989" w:hanging="759"/>
              <w:rPr>
                <w:rFonts w:ascii="Arial" w:hAnsi="Arial" w:cs="Arial"/>
                <w:sz w:val="21"/>
                <w:szCs w:val="21"/>
                <w:lang w:eastAsia="zh-CN"/>
              </w:rPr>
            </w:pPr>
            <w:r>
              <w:rPr>
                <w:rFonts w:ascii="宋体" w:hAnsi="宋体" w:eastAsia="宋体" w:cs="宋体"/>
                <w:spacing w:val="-2"/>
                <w:sz w:val="21"/>
                <w:szCs w:val="21"/>
                <w:lang w:eastAsia="zh-CN"/>
              </w:rPr>
              <w:t>导体窄边标称尺寸</w:t>
            </w:r>
            <w:r>
              <w:rPr>
                <w:rFonts w:ascii="宋体" w:hAnsi="宋体" w:eastAsia="宋体" w:cs="宋体"/>
                <w:sz w:val="21"/>
                <w:szCs w:val="21"/>
                <w:lang w:eastAsia="zh-CN"/>
              </w:rPr>
              <w:t xml:space="preserve"> </w:t>
            </w:r>
            <w:r>
              <w:rPr>
                <w:rFonts w:ascii="Arial" w:hAnsi="Arial" w:cs="Arial"/>
                <w:spacing w:val="-1"/>
                <w:sz w:val="21"/>
                <w:szCs w:val="21"/>
                <w:lang w:eastAsia="zh-CN"/>
              </w:rPr>
              <w:t>mm</w:t>
            </w:r>
          </w:p>
        </w:tc>
        <w:tc>
          <w:tcPr>
            <w:tcW w:w="2949" w:type="dxa"/>
            <w:vMerge w:val="restart"/>
            <w:tcBorders>
              <w:bottom w:val="nil"/>
            </w:tcBorders>
          </w:tcPr>
          <w:p w14:paraId="09FD1C0B">
            <w:pPr>
              <w:spacing w:line="278" w:lineRule="auto"/>
              <w:rPr>
                <w:rFonts w:ascii="Arial" w:hAnsi="Arial" w:cs="Arial" w:eastAsiaTheme="minorEastAsia"/>
                <w:szCs w:val="21"/>
              </w:rPr>
            </w:pPr>
          </w:p>
          <w:p w14:paraId="4E29986E">
            <w:pPr>
              <w:pStyle w:val="240"/>
              <w:spacing w:before="78" w:line="387" w:lineRule="auto"/>
              <w:ind w:left="1289" w:right="996" w:hanging="266"/>
              <w:rPr>
                <w:rFonts w:ascii="Arial" w:hAnsi="Arial" w:cs="Arial"/>
                <w:sz w:val="21"/>
                <w:szCs w:val="21"/>
              </w:rPr>
            </w:pPr>
            <w:r>
              <w:rPr>
                <w:rFonts w:ascii="宋体" w:hAnsi="宋体" w:eastAsia="宋体" w:cs="宋体"/>
                <w:spacing w:val="-8"/>
                <w:sz w:val="21"/>
                <w:szCs w:val="21"/>
              </w:rPr>
              <w:t>圆角半径</w:t>
            </w:r>
            <w:r>
              <w:rPr>
                <w:rFonts w:ascii="宋体" w:hAnsi="宋体" w:eastAsia="宋体" w:cs="宋体"/>
                <w:spacing w:val="1"/>
                <w:sz w:val="21"/>
                <w:szCs w:val="21"/>
              </w:rPr>
              <w:t xml:space="preserve"> </w:t>
            </w:r>
            <w:r>
              <w:rPr>
                <w:rFonts w:ascii="Arial" w:hAnsi="Arial" w:cs="Arial"/>
                <w:spacing w:val="-1"/>
                <w:sz w:val="21"/>
                <w:szCs w:val="21"/>
              </w:rPr>
              <w:t>mm</w:t>
            </w:r>
          </w:p>
        </w:tc>
      </w:tr>
      <w:tr w14:paraId="361F81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2948" w:type="dxa"/>
          </w:tcPr>
          <w:p w14:paraId="49D65437">
            <w:pPr>
              <w:spacing w:before="115" w:line="220" w:lineRule="auto"/>
              <w:ind w:left="1247"/>
              <w:rPr>
                <w:rFonts w:hint="eastAsia" w:ascii="宋体" w:hAnsi="宋体" w:cs="宋体" w:eastAsiaTheme="minorEastAsia"/>
                <w:szCs w:val="21"/>
              </w:rPr>
            </w:pPr>
            <w:r>
              <w:rPr>
                <w:rFonts w:ascii="宋体" w:hAnsi="宋体" w:cs="宋体" w:eastAsiaTheme="minorEastAsia"/>
                <w:spacing w:val="-4"/>
                <w:szCs w:val="21"/>
              </w:rPr>
              <w:t>大于</w:t>
            </w:r>
          </w:p>
        </w:tc>
        <w:tc>
          <w:tcPr>
            <w:tcW w:w="2944" w:type="dxa"/>
          </w:tcPr>
          <w:p w14:paraId="3E69A244">
            <w:pPr>
              <w:spacing w:before="114" w:line="220" w:lineRule="auto"/>
              <w:ind w:left="890"/>
              <w:rPr>
                <w:rFonts w:hint="eastAsia" w:ascii="宋体" w:hAnsi="宋体" w:cs="宋体" w:eastAsiaTheme="minorEastAsia"/>
                <w:szCs w:val="21"/>
              </w:rPr>
            </w:pPr>
            <w:r>
              <w:rPr>
                <w:rFonts w:ascii="宋体" w:hAnsi="宋体" w:cs="宋体" w:eastAsiaTheme="minorEastAsia"/>
                <w:spacing w:val="-3"/>
                <w:szCs w:val="21"/>
              </w:rPr>
              <w:t>小于或等于</w:t>
            </w:r>
          </w:p>
        </w:tc>
        <w:tc>
          <w:tcPr>
            <w:tcW w:w="2949" w:type="dxa"/>
            <w:vMerge w:val="continue"/>
            <w:tcBorders>
              <w:top w:val="nil"/>
            </w:tcBorders>
          </w:tcPr>
          <w:p w14:paraId="7582CDD6">
            <w:pPr>
              <w:rPr>
                <w:rFonts w:ascii="Arial" w:hAnsi="Arial" w:cs="Arial" w:eastAsiaTheme="minorEastAsia"/>
                <w:szCs w:val="21"/>
              </w:rPr>
            </w:pPr>
          </w:p>
        </w:tc>
      </w:tr>
      <w:tr w14:paraId="3B227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7" w:hRule="atLeast"/>
        </w:trPr>
        <w:tc>
          <w:tcPr>
            <w:tcW w:w="2948" w:type="dxa"/>
          </w:tcPr>
          <w:p w14:paraId="71B24836">
            <w:pPr>
              <w:pStyle w:val="240"/>
              <w:spacing w:before="155" w:line="373" w:lineRule="auto"/>
              <w:ind w:left="1269" w:right="1265" w:firstLine="23"/>
              <w:jc w:val="both"/>
              <w:rPr>
                <w:rFonts w:ascii="Arial" w:hAnsi="Arial" w:cs="Arial"/>
                <w:sz w:val="21"/>
                <w:szCs w:val="21"/>
              </w:rPr>
            </w:pPr>
            <w:r>
              <w:rPr>
                <w:rFonts w:ascii="Arial" w:hAnsi="Arial" w:cs="Arial"/>
                <w:spacing w:val="-8"/>
                <w:sz w:val="21"/>
                <w:szCs w:val="21"/>
              </w:rPr>
              <w:t>1.00</w:t>
            </w:r>
            <w:r>
              <w:rPr>
                <w:rFonts w:ascii="Arial" w:hAnsi="Arial" w:cs="Arial"/>
                <w:spacing w:val="2"/>
                <w:sz w:val="21"/>
                <w:szCs w:val="21"/>
              </w:rPr>
              <w:t xml:space="preserve"> </w:t>
            </w:r>
            <w:r>
              <w:rPr>
                <w:rFonts w:ascii="Arial" w:hAnsi="Arial" w:cs="Arial"/>
                <w:spacing w:val="-2"/>
                <w:sz w:val="21"/>
                <w:szCs w:val="21"/>
              </w:rPr>
              <w:t>1.60</w:t>
            </w:r>
            <w:r>
              <w:rPr>
                <w:rFonts w:ascii="Arial" w:hAnsi="Arial" w:cs="Arial"/>
                <w:spacing w:val="1"/>
                <w:sz w:val="21"/>
                <w:szCs w:val="21"/>
              </w:rPr>
              <w:t xml:space="preserve"> </w:t>
            </w:r>
            <w:r>
              <w:rPr>
                <w:rFonts w:ascii="Arial" w:hAnsi="Arial" w:cs="Arial"/>
                <w:spacing w:val="-2"/>
                <w:sz w:val="21"/>
                <w:szCs w:val="21"/>
              </w:rPr>
              <w:t>2.24</w:t>
            </w:r>
            <w:r>
              <w:rPr>
                <w:rFonts w:ascii="Arial" w:hAnsi="Arial" w:cs="Arial"/>
                <w:spacing w:val="1"/>
                <w:sz w:val="21"/>
                <w:szCs w:val="21"/>
              </w:rPr>
              <w:t xml:space="preserve"> </w:t>
            </w:r>
            <w:r>
              <w:rPr>
                <w:rFonts w:ascii="Arial" w:hAnsi="Arial" w:cs="Arial"/>
                <w:spacing w:val="-2"/>
                <w:sz w:val="21"/>
                <w:szCs w:val="21"/>
              </w:rPr>
              <w:t>3.55</w:t>
            </w:r>
          </w:p>
        </w:tc>
        <w:tc>
          <w:tcPr>
            <w:tcW w:w="2944" w:type="dxa"/>
          </w:tcPr>
          <w:p w14:paraId="5F893CBF">
            <w:pPr>
              <w:pStyle w:val="240"/>
              <w:spacing w:before="155" w:line="373" w:lineRule="auto"/>
              <w:ind w:left="1267" w:right="1263" w:firstLine="23"/>
              <w:jc w:val="both"/>
              <w:rPr>
                <w:rFonts w:ascii="Arial" w:hAnsi="Arial" w:cs="Arial"/>
                <w:sz w:val="21"/>
                <w:szCs w:val="21"/>
              </w:rPr>
            </w:pPr>
            <w:r>
              <w:rPr>
                <w:rFonts w:ascii="Arial" w:hAnsi="Arial" w:cs="Arial"/>
                <w:spacing w:val="-8"/>
                <w:sz w:val="21"/>
                <w:szCs w:val="21"/>
              </w:rPr>
              <w:t>1.60</w:t>
            </w:r>
            <w:r>
              <w:rPr>
                <w:rFonts w:ascii="Arial" w:hAnsi="Arial" w:cs="Arial"/>
                <w:spacing w:val="2"/>
                <w:sz w:val="21"/>
                <w:szCs w:val="21"/>
              </w:rPr>
              <w:t xml:space="preserve"> </w:t>
            </w:r>
            <w:r>
              <w:rPr>
                <w:rFonts w:ascii="Arial" w:hAnsi="Arial" w:cs="Arial"/>
                <w:spacing w:val="-2"/>
                <w:sz w:val="21"/>
                <w:szCs w:val="21"/>
              </w:rPr>
              <w:t>2.24</w:t>
            </w:r>
            <w:r>
              <w:rPr>
                <w:rFonts w:ascii="Arial" w:hAnsi="Arial" w:cs="Arial"/>
                <w:spacing w:val="1"/>
                <w:sz w:val="21"/>
                <w:szCs w:val="21"/>
              </w:rPr>
              <w:t xml:space="preserve"> </w:t>
            </w:r>
            <w:r>
              <w:rPr>
                <w:rFonts w:ascii="Arial" w:hAnsi="Arial" w:cs="Arial"/>
                <w:spacing w:val="-2"/>
                <w:sz w:val="21"/>
                <w:szCs w:val="21"/>
              </w:rPr>
              <w:t>3.55</w:t>
            </w:r>
            <w:r>
              <w:rPr>
                <w:rFonts w:ascii="Arial" w:hAnsi="Arial" w:cs="Arial"/>
                <w:spacing w:val="1"/>
                <w:sz w:val="21"/>
                <w:szCs w:val="21"/>
              </w:rPr>
              <w:t xml:space="preserve"> </w:t>
            </w:r>
            <w:r>
              <w:rPr>
                <w:rFonts w:ascii="Arial" w:hAnsi="Arial" w:cs="Arial"/>
                <w:spacing w:val="18"/>
                <w:sz w:val="21"/>
                <w:szCs w:val="21"/>
              </w:rPr>
              <w:t>5.6</w:t>
            </w:r>
          </w:p>
        </w:tc>
        <w:tc>
          <w:tcPr>
            <w:tcW w:w="2949" w:type="dxa"/>
          </w:tcPr>
          <w:p w14:paraId="2EEC526A">
            <w:pPr>
              <w:pStyle w:val="240"/>
              <w:spacing w:before="155" w:line="373" w:lineRule="auto"/>
              <w:ind w:left="1272" w:right="1266" w:firstLine="60"/>
              <w:jc w:val="both"/>
              <w:rPr>
                <w:rFonts w:ascii="Arial" w:hAnsi="Arial" w:cs="Arial"/>
                <w:sz w:val="21"/>
                <w:szCs w:val="21"/>
              </w:rPr>
            </w:pPr>
            <w:r>
              <w:rPr>
                <w:rFonts w:ascii="Arial" w:hAnsi="Arial" w:cs="Arial"/>
                <w:spacing w:val="-3"/>
                <w:sz w:val="21"/>
                <w:szCs w:val="21"/>
              </w:rPr>
              <w:t>0.5</w:t>
            </w:r>
            <w:r>
              <w:rPr>
                <w:rFonts w:ascii="Arial" w:hAnsi="Arial" w:cs="Arial"/>
                <w:sz w:val="21"/>
                <w:szCs w:val="21"/>
              </w:rPr>
              <w:t xml:space="preserve">  </w:t>
            </w:r>
            <w:r>
              <w:rPr>
                <w:rFonts w:ascii="Arial" w:hAnsi="Arial" w:cs="Arial"/>
                <w:spacing w:val="-3"/>
                <w:sz w:val="21"/>
                <w:szCs w:val="21"/>
              </w:rPr>
              <w:t>0.65</w:t>
            </w:r>
            <w:r>
              <w:rPr>
                <w:rFonts w:ascii="Arial" w:hAnsi="Arial" w:cs="Arial"/>
                <w:spacing w:val="2"/>
                <w:sz w:val="21"/>
                <w:szCs w:val="21"/>
              </w:rPr>
              <w:t xml:space="preserve"> </w:t>
            </w:r>
            <w:r>
              <w:rPr>
                <w:rFonts w:ascii="Arial" w:hAnsi="Arial" w:cs="Arial"/>
                <w:spacing w:val="17"/>
                <w:sz w:val="21"/>
                <w:szCs w:val="21"/>
              </w:rPr>
              <w:t>0.8</w:t>
            </w:r>
            <w:r>
              <w:rPr>
                <w:rFonts w:ascii="Arial" w:hAnsi="Arial" w:cs="Arial"/>
                <w:sz w:val="21"/>
                <w:szCs w:val="21"/>
              </w:rPr>
              <w:t xml:space="preserve">  </w:t>
            </w:r>
            <w:r>
              <w:rPr>
                <w:rFonts w:ascii="Arial" w:hAnsi="Arial" w:cs="Arial"/>
                <w:spacing w:val="17"/>
                <w:sz w:val="21"/>
                <w:szCs w:val="21"/>
              </w:rPr>
              <w:t>1.0</w:t>
            </w:r>
          </w:p>
        </w:tc>
      </w:tr>
    </w:tbl>
    <w:p w14:paraId="56B125AB">
      <w:pPr>
        <w:pStyle w:val="59"/>
      </w:pPr>
      <w:r>
        <w:rPr>
          <w:rFonts w:hint="eastAsia"/>
        </w:rPr>
        <w:t>5.2.4漆膜厚度</w:t>
      </w:r>
    </w:p>
    <w:p w14:paraId="22133A52">
      <w:pPr>
        <w:topLinePunct/>
        <w:spacing w:line="312" w:lineRule="exact"/>
        <w:ind w:firstLine="420" w:firstLineChars="200"/>
        <w:rPr>
          <w:rFonts w:ascii="EU-F1"/>
          <w:snapToGrid w:val="0"/>
          <w:szCs w:val="21"/>
        </w:rPr>
      </w:pPr>
      <w:r>
        <w:rPr>
          <w:rFonts w:ascii="EU-F1"/>
          <w:snapToGrid w:val="0"/>
          <w:szCs w:val="21"/>
        </w:rPr>
        <w:t>同国标 GB/T7095.1-2008 中 4.4 规定。</w:t>
      </w:r>
    </w:p>
    <w:p w14:paraId="5D5D31FB">
      <w:pPr>
        <w:pStyle w:val="59"/>
      </w:pPr>
      <w:r>
        <w:rPr>
          <w:rFonts w:hint="eastAsia"/>
        </w:rPr>
        <w:t>5.2.5电阻</w:t>
      </w:r>
    </w:p>
    <w:p w14:paraId="1E3C9252">
      <w:pPr>
        <w:topLinePunct/>
        <w:spacing w:line="312" w:lineRule="exact"/>
        <w:ind w:firstLine="420" w:firstLineChars="200"/>
        <w:rPr>
          <w:rFonts w:ascii="EU-F1"/>
          <w:snapToGrid w:val="0"/>
          <w:szCs w:val="21"/>
        </w:rPr>
      </w:pPr>
      <w:r>
        <w:rPr>
          <w:rFonts w:ascii="EU-F1"/>
          <w:snapToGrid w:val="0"/>
          <w:szCs w:val="21"/>
        </w:rPr>
        <w:t>同国标 GB/T7095.1-2008 中 5 规定。</w:t>
      </w:r>
    </w:p>
    <w:p w14:paraId="028418C7">
      <w:pPr>
        <w:pStyle w:val="59"/>
      </w:pPr>
      <w:r>
        <w:rPr>
          <w:rFonts w:hint="eastAsia"/>
        </w:rPr>
        <w:t>5.2.6伸长率</w:t>
      </w:r>
    </w:p>
    <w:p w14:paraId="20B73860">
      <w:pPr>
        <w:topLinePunct/>
        <w:spacing w:line="312" w:lineRule="exact"/>
        <w:ind w:firstLine="420" w:firstLineChars="200"/>
        <w:rPr>
          <w:rFonts w:ascii="EU-F1"/>
          <w:snapToGrid w:val="0"/>
          <w:szCs w:val="21"/>
        </w:rPr>
      </w:pPr>
      <w:r>
        <w:rPr>
          <w:rFonts w:hint="eastAsia" w:ascii="EU-F1"/>
          <w:snapToGrid w:val="0"/>
          <w:szCs w:val="21"/>
        </w:rPr>
        <w:t xml:space="preserve">同国标 </w:t>
      </w:r>
      <w:r>
        <w:rPr>
          <w:rFonts w:ascii="EU-F1"/>
          <w:snapToGrid w:val="0"/>
          <w:szCs w:val="21"/>
        </w:rPr>
        <w:t>GB/T7095</w:t>
      </w:r>
      <w:r>
        <w:rPr>
          <w:rFonts w:hint="eastAsia" w:ascii="EU-F1"/>
          <w:snapToGrid w:val="0"/>
          <w:szCs w:val="21"/>
        </w:rPr>
        <w:t>.</w:t>
      </w:r>
      <w:r>
        <w:rPr>
          <w:rFonts w:ascii="EU-F1"/>
          <w:snapToGrid w:val="0"/>
          <w:szCs w:val="21"/>
        </w:rPr>
        <w:t xml:space="preserve">1-2008 </w:t>
      </w:r>
      <w:r>
        <w:rPr>
          <w:rFonts w:hint="eastAsia" w:ascii="EU-F1"/>
          <w:snapToGrid w:val="0"/>
          <w:szCs w:val="21"/>
        </w:rPr>
        <w:t xml:space="preserve">中 </w:t>
      </w:r>
      <w:r>
        <w:rPr>
          <w:rFonts w:ascii="EU-F1"/>
          <w:snapToGrid w:val="0"/>
          <w:szCs w:val="21"/>
        </w:rPr>
        <w:t xml:space="preserve">6 </w:t>
      </w:r>
      <w:r>
        <w:rPr>
          <w:rFonts w:hint="eastAsia" w:ascii="EU-F1"/>
          <w:snapToGrid w:val="0"/>
          <w:szCs w:val="21"/>
        </w:rPr>
        <w:t>规定。</w:t>
      </w:r>
    </w:p>
    <w:p w14:paraId="2FFA898E">
      <w:pPr>
        <w:pStyle w:val="59"/>
      </w:pPr>
      <w:r>
        <w:rPr>
          <w:rFonts w:hint="eastAsia"/>
        </w:rPr>
        <w:t>5.2.7</w:t>
      </w:r>
      <w:r>
        <w:t xml:space="preserve"> </w:t>
      </w:r>
      <w:r>
        <w:rPr>
          <w:rFonts w:hint="eastAsia"/>
        </w:rPr>
        <w:t>回弹角</w:t>
      </w:r>
    </w:p>
    <w:p w14:paraId="397BCC6D">
      <w:pPr>
        <w:topLinePunct/>
        <w:spacing w:line="312" w:lineRule="exact"/>
        <w:ind w:firstLine="420" w:firstLineChars="200"/>
        <w:rPr>
          <w:rFonts w:ascii="EU-F1"/>
          <w:snapToGrid w:val="0"/>
          <w:szCs w:val="21"/>
        </w:rPr>
      </w:pPr>
      <w:r>
        <w:rPr>
          <w:rFonts w:hint="eastAsia" w:ascii="EU-F1"/>
          <w:snapToGrid w:val="0"/>
          <w:szCs w:val="21"/>
        </w:rPr>
        <w:t xml:space="preserve">同国标 </w:t>
      </w:r>
      <w:r>
        <w:rPr>
          <w:rFonts w:ascii="EU-F1"/>
          <w:snapToGrid w:val="0"/>
          <w:szCs w:val="21"/>
        </w:rPr>
        <w:t>GB/T7095</w:t>
      </w:r>
      <w:r>
        <w:rPr>
          <w:rFonts w:hint="eastAsia" w:ascii="EU-F1"/>
          <w:snapToGrid w:val="0"/>
          <w:szCs w:val="21"/>
        </w:rPr>
        <w:t>.</w:t>
      </w:r>
      <w:r>
        <w:rPr>
          <w:rFonts w:ascii="EU-F1"/>
          <w:snapToGrid w:val="0"/>
          <w:szCs w:val="21"/>
        </w:rPr>
        <w:t xml:space="preserve">1-2008 </w:t>
      </w:r>
      <w:r>
        <w:rPr>
          <w:rFonts w:hint="eastAsia" w:ascii="EU-F1"/>
          <w:snapToGrid w:val="0"/>
          <w:szCs w:val="21"/>
        </w:rPr>
        <w:t xml:space="preserve">中 </w:t>
      </w:r>
      <w:r>
        <w:rPr>
          <w:rFonts w:ascii="EU-F1"/>
          <w:snapToGrid w:val="0"/>
          <w:szCs w:val="21"/>
        </w:rPr>
        <w:t xml:space="preserve">7 </w:t>
      </w:r>
      <w:r>
        <w:rPr>
          <w:rFonts w:hint="eastAsia" w:ascii="EU-F1"/>
          <w:snapToGrid w:val="0"/>
          <w:szCs w:val="21"/>
        </w:rPr>
        <w:t>规定。</w:t>
      </w:r>
    </w:p>
    <w:p w14:paraId="5D5E4225">
      <w:pPr>
        <w:pStyle w:val="59"/>
      </w:pPr>
      <w:r>
        <w:rPr>
          <w:rFonts w:hint="eastAsia"/>
        </w:rPr>
        <w:t>5.2.8</w:t>
      </w:r>
      <w:r>
        <w:t xml:space="preserve"> </w:t>
      </w:r>
      <w:r>
        <w:rPr>
          <w:rFonts w:hint="eastAsia"/>
        </w:rPr>
        <w:t>柔韧性和附着性</w:t>
      </w:r>
    </w:p>
    <w:p w14:paraId="041C6966">
      <w:pPr>
        <w:topLinePunct/>
        <w:spacing w:line="312" w:lineRule="exact"/>
        <w:ind w:firstLine="420" w:firstLineChars="200"/>
        <w:rPr>
          <w:rFonts w:ascii="EU-F1"/>
          <w:snapToGrid w:val="0"/>
          <w:szCs w:val="21"/>
        </w:rPr>
      </w:pPr>
      <w:r>
        <w:rPr>
          <w:rFonts w:hint="eastAsia" w:ascii="EU-F1"/>
          <w:snapToGrid w:val="0"/>
          <w:szCs w:val="21"/>
        </w:rPr>
        <w:t xml:space="preserve">同国标 </w:t>
      </w:r>
      <w:r>
        <w:rPr>
          <w:rFonts w:ascii="EU-F1"/>
          <w:snapToGrid w:val="0"/>
          <w:szCs w:val="21"/>
        </w:rPr>
        <w:t>GB/T7095</w:t>
      </w:r>
      <w:r>
        <w:rPr>
          <w:rFonts w:hint="eastAsia" w:ascii="EU-F1"/>
          <w:snapToGrid w:val="0"/>
          <w:szCs w:val="21"/>
        </w:rPr>
        <w:t>.</w:t>
      </w:r>
      <w:r>
        <w:rPr>
          <w:rFonts w:ascii="EU-F1"/>
          <w:snapToGrid w:val="0"/>
          <w:szCs w:val="21"/>
        </w:rPr>
        <w:t xml:space="preserve">1-2008 </w:t>
      </w:r>
      <w:r>
        <w:rPr>
          <w:rFonts w:hint="eastAsia" w:ascii="EU-F1"/>
          <w:snapToGrid w:val="0"/>
          <w:szCs w:val="21"/>
        </w:rPr>
        <w:t xml:space="preserve">中 </w:t>
      </w:r>
      <w:r>
        <w:rPr>
          <w:rFonts w:ascii="EU-F1"/>
          <w:snapToGrid w:val="0"/>
          <w:szCs w:val="21"/>
        </w:rPr>
        <w:t xml:space="preserve">8 </w:t>
      </w:r>
      <w:r>
        <w:rPr>
          <w:rFonts w:hint="eastAsia" w:ascii="EU-F1"/>
          <w:snapToGrid w:val="0"/>
          <w:szCs w:val="21"/>
        </w:rPr>
        <w:t>规定。</w:t>
      </w:r>
    </w:p>
    <w:p w14:paraId="51042D5E">
      <w:pPr>
        <w:pStyle w:val="59"/>
      </w:pPr>
      <w:r>
        <w:rPr>
          <w:rFonts w:hint="eastAsia"/>
        </w:rPr>
        <w:t>5.2.9</w:t>
      </w:r>
      <w:r>
        <w:t xml:space="preserve"> </w:t>
      </w:r>
      <w:r>
        <w:rPr>
          <w:rFonts w:hint="eastAsia"/>
        </w:rPr>
        <w:t>热冲击</w:t>
      </w:r>
    </w:p>
    <w:p w14:paraId="284D5BA5">
      <w:pPr>
        <w:topLinePunct/>
        <w:spacing w:line="312" w:lineRule="exact"/>
        <w:ind w:firstLine="420" w:firstLineChars="200"/>
        <w:rPr>
          <w:rFonts w:ascii="EU-F1"/>
          <w:snapToGrid w:val="0"/>
          <w:szCs w:val="21"/>
        </w:rPr>
      </w:pPr>
      <w:r>
        <w:rPr>
          <w:rFonts w:hint="eastAsia" w:ascii="EU-F1"/>
          <w:snapToGrid w:val="0"/>
          <w:szCs w:val="21"/>
        </w:rPr>
        <w:t xml:space="preserve">同国标 </w:t>
      </w:r>
      <w:r>
        <w:rPr>
          <w:rFonts w:ascii="EU-F1"/>
          <w:snapToGrid w:val="0"/>
          <w:szCs w:val="21"/>
        </w:rPr>
        <w:t>GB/T7095</w:t>
      </w:r>
      <w:r>
        <w:rPr>
          <w:rFonts w:hint="eastAsia" w:ascii="EU-F1"/>
          <w:snapToGrid w:val="0"/>
          <w:szCs w:val="21"/>
        </w:rPr>
        <w:t>.</w:t>
      </w:r>
      <w:r>
        <w:rPr>
          <w:rFonts w:ascii="EU-F1"/>
          <w:snapToGrid w:val="0"/>
          <w:szCs w:val="21"/>
        </w:rPr>
        <w:t xml:space="preserve">1-2008 </w:t>
      </w:r>
      <w:r>
        <w:rPr>
          <w:rFonts w:hint="eastAsia" w:ascii="EU-F1"/>
          <w:snapToGrid w:val="0"/>
          <w:szCs w:val="21"/>
        </w:rPr>
        <w:t xml:space="preserve">中 </w:t>
      </w:r>
      <w:r>
        <w:rPr>
          <w:rFonts w:ascii="EU-F1"/>
          <w:snapToGrid w:val="0"/>
          <w:szCs w:val="21"/>
        </w:rPr>
        <w:t xml:space="preserve">9 </w:t>
      </w:r>
      <w:r>
        <w:rPr>
          <w:rFonts w:hint="eastAsia" w:ascii="EU-F1"/>
          <w:snapToGrid w:val="0"/>
          <w:szCs w:val="21"/>
        </w:rPr>
        <w:t>规定。</w:t>
      </w:r>
    </w:p>
    <w:p w14:paraId="3AC1A361">
      <w:pPr>
        <w:pStyle w:val="59"/>
      </w:pPr>
      <w:r>
        <w:rPr>
          <w:rFonts w:hint="eastAsia"/>
        </w:rPr>
        <w:t>5.2.10耐溶剂</w:t>
      </w:r>
    </w:p>
    <w:p w14:paraId="31A5A34B">
      <w:pPr>
        <w:topLinePunct/>
        <w:spacing w:line="312" w:lineRule="exact"/>
        <w:ind w:firstLine="420" w:firstLineChars="200"/>
        <w:rPr>
          <w:rFonts w:ascii="EU-F1"/>
          <w:snapToGrid w:val="0"/>
          <w:szCs w:val="21"/>
        </w:rPr>
      </w:pPr>
      <w:r>
        <w:rPr>
          <w:rFonts w:hint="eastAsia" w:ascii="EU-F1"/>
          <w:snapToGrid w:val="0"/>
          <w:szCs w:val="21"/>
        </w:rPr>
        <w:t xml:space="preserve">同国标 </w:t>
      </w:r>
      <w:r>
        <w:rPr>
          <w:rFonts w:ascii="EU-F1"/>
          <w:snapToGrid w:val="0"/>
          <w:szCs w:val="21"/>
        </w:rPr>
        <w:t>GB/T7095</w:t>
      </w:r>
      <w:r>
        <w:rPr>
          <w:rFonts w:hint="eastAsia" w:ascii="EU-F1"/>
          <w:snapToGrid w:val="0"/>
          <w:szCs w:val="21"/>
        </w:rPr>
        <w:t>.</w:t>
      </w:r>
      <w:r>
        <w:rPr>
          <w:rFonts w:ascii="EU-F1"/>
          <w:snapToGrid w:val="0"/>
          <w:szCs w:val="21"/>
        </w:rPr>
        <w:t xml:space="preserve">1-2008 </w:t>
      </w:r>
      <w:r>
        <w:rPr>
          <w:rFonts w:hint="eastAsia" w:ascii="EU-F1"/>
          <w:snapToGrid w:val="0"/>
          <w:szCs w:val="21"/>
        </w:rPr>
        <w:t xml:space="preserve">中 </w:t>
      </w:r>
      <w:r>
        <w:rPr>
          <w:rFonts w:ascii="EU-F1"/>
          <w:snapToGrid w:val="0"/>
          <w:szCs w:val="21"/>
        </w:rPr>
        <w:t xml:space="preserve">12 </w:t>
      </w:r>
      <w:r>
        <w:rPr>
          <w:rFonts w:hint="eastAsia" w:ascii="EU-F1"/>
          <w:snapToGrid w:val="0"/>
          <w:szCs w:val="21"/>
        </w:rPr>
        <w:t>规定。</w:t>
      </w:r>
    </w:p>
    <w:p w14:paraId="3A765308">
      <w:pPr>
        <w:pStyle w:val="59"/>
      </w:pPr>
      <w:r>
        <w:rPr>
          <w:rFonts w:hint="eastAsia"/>
        </w:rPr>
        <w:t>5.2.11</w:t>
      </w:r>
      <w:r>
        <w:t xml:space="preserve"> </w:t>
      </w:r>
      <w:r>
        <w:rPr>
          <w:rFonts w:hint="eastAsia"/>
        </w:rPr>
        <w:t>击穿电压</w:t>
      </w:r>
    </w:p>
    <w:p w14:paraId="0F7FD706">
      <w:pPr>
        <w:topLinePunct/>
        <w:spacing w:line="312" w:lineRule="exact"/>
        <w:ind w:firstLine="420" w:firstLineChars="200"/>
        <w:rPr>
          <w:rFonts w:ascii="EU-F1"/>
          <w:snapToGrid w:val="0"/>
          <w:szCs w:val="21"/>
        </w:rPr>
      </w:pPr>
      <w:r>
        <w:rPr>
          <w:rFonts w:hint="eastAsia" w:ascii="EU-F1"/>
          <w:snapToGrid w:val="0"/>
          <w:szCs w:val="21"/>
        </w:rPr>
        <w:t xml:space="preserve">同国标 </w:t>
      </w:r>
      <w:r>
        <w:rPr>
          <w:rFonts w:ascii="EU-F1"/>
          <w:snapToGrid w:val="0"/>
          <w:szCs w:val="21"/>
        </w:rPr>
        <w:t>GB/T7095</w:t>
      </w:r>
      <w:r>
        <w:rPr>
          <w:rFonts w:hint="eastAsia" w:ascii="EU-F1"/>
          <w:snapToGrid w:val="0"/>
          <w:szCs w:val="21"/>
        </w:rPr>
        <w:t>.</w:t>
      </w:r>
      <w:r>
        <w:rPr>
          <w:rFonts w:ascii="EU-F1"/>
          <w:snapToGrid w:val="0"/>
          <w:szCs w:val="21"/>
        </w:rPr>
        <w:t xml:space="preserve">1-2008 </w:t>
      </w:r>
      <w:r>
        <w:rPr>
          <w:rFonts w:hint="eastAsia" w:ascii="EU-F1"/>
          <w:snapToGrid w:val="0"/>
          <w:szCs w:val="21"/>
        </w:rPr>
        <w:t xml:space="preserve">中 </w:t>
      </w:r>
      <w:r>
        <w:rPr>
          <w:rFonts w:ascii="EU-F1"/>
          <w:snapToGrid w:val="0"/>
          <w:szCs w:val="21"/>
        </w:rPr>
        <w:t xml:space="preserve">13 </w:t>
      </w:r>
    </w:p>
    <w:p w14:paraId="254C9F6A">
      <w:pPr>
        <w:topLinePunct/>
        <w:spacing w:line="312" w:lineRule="exact"/>
      </w:pPr>
      <w:r>
        <w:rPr>
          <w:rFonts w:hint="eastAsia" w:ascii="EU-F1" w:eastAsia="黑体"/>
          <w:color w:val="000000"/>
          <w:kern w:val="44"/>
          <w:szCs w:val="21"/>
        </w:rPr>
        <w:t>5.2.12</w:t>
      </w:r>
      <w:r>
        <w:rPr>
          <w:rFonts w:ascii="EU-F1" w:eastAsia="黑体"/>
          <w:color w:val="000000"/>
          <w:kern w:val="44"/>
          <w:szCs w:val="21"/>
        </w:rPr>
        <w:t xml:space="preserve"> </w:t>
      </w:r>
      <w:r>
        <w:rPr>
          <w:rFonts w:hint="eastAsia" w:ascii="EU-F1" w:eastAsia="黑体"/>
          <w:color w:val="000000"/>
          <w:kern w:val="44"/>
          <w:szCs w:val="21"/>
        </w:rPr>
        <w:t>温度指数</w:t>
      </w:r>
    </w:p>
    <w:p w14:paraId="078C6F04">
      <w:pPr>
        <w:topLinePunct/>
        <w:spacing w:line="312" w:lineRule="exact"/>
        <w:rPr>
          <w:rFonts w:ascii="EU-F1"/>
          <w:snapToGrid w:val="0"/>
          <w:szCs w:val="21"/>
        </w:rPr>
      </w:pPr>
      <w:r>
        <w:rPr>
          <w:rFonts w:hint="eastAsia" w:ascii="EU-F1"/>
          <w:snapToGrid w:val="0"/>
          <w:szCs w:val="21"/>
        </w:rPr>
        <w:t xml:space="preserve">同国标 </w:t>
      </w:r>
      <w:r>
        <w:rPr>
          <w:rFonts w:ascii="EU-F1"/>
          <w:snapToGrid w:val="0"/>
          <w:szCs w:val="21"/>
        </w:rPr>
        <w:t>GB/T7095</w:t>
      </w:r>
      <w:r>
        <w:rPr>
          <w:rFonts w:hint="eastAsia" w:ascii="EU-F1"/>
          <w:snapToGrid w:val="0"/>
          <w:szCs w:val="21"/>
        </w:rPr>
        <w:t>.</w:t>
      </w:r>
      <w:r>
        <w:rPr>
          <w:rFonts w:ascii="EU-F1"/>
          <w:snapToGrid w:val="0"/>
          <w:szCs w:val="21"/>
        </w:rPr>
        <w:t xml:space="preserve">1-2008 </w:t>
      </w:r>
      <w:r>
        <w:rPr>
          <w:rFonts w:hint="eastAsia" w:ascii="EU-F1"/>
          <w:snapToGrid w:val="0"/>
          <w:szCs w:val="21"/>
        </w:rPr>
        <w:t xml:space="preserve">中 </w:t>
      </w:r>
      <w:r>
        <w:rPr>
          <w:rFonts w:ascii="EU-F1"/>
          <w:snapToGrid w:val="0"/>
          <w:szCs w:val="21"/>
        </w:rPr>
        <w:t xml:space="preserve">15 </w:t>
      </w:r>
      <w:r>
        <w:rPr>
          <w:rFonts w:hint="eastAsia" w:ascii="EU-F1"/>
          <w:snapToGrid w:val="0"/>
          <w:szCs w:val="21"/>
        </w:rPr>
        <w:t>规定。</w:t>
      </w:r>
    </w:p>
    <w:p w14:paraId="318BA733">
      <w:pPr>
        <w:pStyle w:val="59"/>
      </w:pPr>
      <w:r>
        <w:rPr>
          <w:rFonts w:hint="eastAsia"/>
        </w:rPr>
        <w:t>5.2.13介质损耗系数</w:t>
      </w:r>
    </w:p>
    <w:p w14:paraId="559A1296">
      <w:pPr>
        <w:topLinePunct/>
        <w:spacing w:line="312" w:lineRule="exact"/>
        <w:rPr>
          <w:rFonts w:ascii="EU-F1"/>
          <w:snapToGrid w:val="0"/>
          <w:szCs w:val="21"/>
        </w:rPr>
      </w:pPr>
      <w:r>
        <w:rPr>
          <w:rFonts w:hint="eastAsia" w:ascii="EU-F1"/>
          <w:snapToGrid w:val="0"/>
          <w:szCs w:val="21"/>
        </w:rPr>
        <w:t xml:space="preserve">同国标 </w:t>
      </w:r>
      <w:r>
        <w:rPr>
          <w:rFonts w:ascii="EU-F1"/>
          <w:snapToGrid w:val="0"/>
          <w:szCs w:val="21"/>
        </w:rPr>
        <w:t>GB/T7095</w:t>
      </w:r>
      <w:r>
        <w:rPr>
          <w:rFonts w:hint="eastAsia" w:ascii="EU-F1"/>
          <w:snapToGrid w:val="0"/>
          <w:szCs w:val="21"/>
        </w:rPr>
        <w:t>.</w:t>
      </w:r>
      <w:r>
        <w:rPr>
          <w:rFonts w:ascii="EU-F1"/>
          <w:snapToGrid w:val="0"/>
          <w:szCs w:val="21"/>
        </w:rPr>
        <w:t xml:space="preserve">1-2008 </w:t>
      </w:r>
      <w:r>
        <w:rPr>
          <w:rFonts w:hint="eastAsia" w:ascii="EU-F1"/>
          <w:snapToGrid w:val="0"/>
          <w:szCs w:val="21"/>
        </w:rPr>
        <w:t xml:space="preserve">中 </w:t>
      </w:r>
      <w:r>
        <w:rPr>
          <w:rFonts w:ascii="EU-F1"/>
          <w:snapToGrid w:val="0"/>
          <w:szCs w:val="21"/>
        </w:rPr>
        <w:t xml:space="preserve">19 </w:t>
      </w:r>
      <w:r>
        <w:rPr>
          <w:rFonts w:hint="eastAsia" w:ascii="EU-F1"/>
          <w:snapToGrid w:val="0"/>
          <w:szCs w:val="21"/>
        </w:rPr>
        <w:t>规定。</w:t>
      </w:r>
    </w:p>
    <w:p w14:paraId="12C7F423">
      <w:pPr>
        <w:pStyle w:val="59"/>
      </w:pPr>
      <w:r>
        <w:rPr>
          <w:rFonts w:hint="eastAsia"/>
        </w:rPr>
        <w:t>5.2.14</w:t>
      </w:r>
      <w:r>
        <w:t xml:space="preserve"> </w:t>
      </w:r>
      <w:r>
        <w:rPr>
          <w:rFonts w:hint="eastAsia"/>
        </w:rPr>
        <w:t>耐变压器油</w:t>
      </w:r>
    </w:p>
    <w:p w14:paraId="32FA05FD">
      <w:pPr>
        <w:topLinePunct/>
        <w:spacing w:line="312" w:lineRule="exact"/>
        <w:rPr>
          <w:rFonts w:ascii="EU-F1"/>
          <w:snapToGrid w:val="0"/>
          <w:szCs w:val="21"/>
        </w:rPr>
      </w:pPr>
      <w:r>
        <w:rPr>
          <w:rFonts w:hint="eastAsia" w:ascii="EU-F1"/>
          <w:snapToGrid w:val="0"/>
          <w:szCs w:val="21"/>
        </w:rPr>
        <w:t xml:space="preserve">同国标 </w:t>
      </w:r>
      <w:r>
        <w:rPr>
          <w:rFonts w:ascii="EU-F1"/>
          <w:snapToGrid w:val="0"/>
          <w:szCs w:val="21"/>
        </w:rPr>
        <w:t>GB/T7095</w:t>
      </w:r>
      <w:r>
        <w:rPr>
          <w:rFonts w:hint="eastAsia" w:ascii="EU-F1"/>
          <w:snapToGrid w:val="0"/>
          <w:szCs w:val="21"/>
        </w:rPr>
        <w:t>.</w:t>
      </w:r>
      <w:r>
        <w:rPr>
          <w:rFonts w:ascii="EU-F1"/>
          <w:snapToGrid w:val="0"/>
          <w:szCs w:val="21"/>
        </w:rPr>
        <w:t xml:space="preserve">1-2008 </w:t>
      </w:r>
      <w:r>
        <w:rPr>
          <w:rFonts w:hint="eastAsia" w:ascii="EU-F1"/>
          <w:snapToGrid w:val="0"/>
          <w:szCs w:val="21"/>
        </w:rPr>
        <w:t xml:space="preserve">中 </w:t>
      </w:r>
      <w:r>
        <w:rPr>
          <w:rFonts w:ascii="EU-F1"/>
          <w:snapToGrid w:val="0"/>
          <w:szCs w:val="21"/>
        </w:rPr>
        <w:t xml:space="preserve">20 </w:t>
      </w:r>
      <w:r>
        <w:rPr>
          <w:rFonts w:hint="eastAsia" w:ascii="EU-F1"/>
          <w:snapToGrid w:val="0"/>
          <w:szCs w:val="21"/>
        </w:rPr>
        <w:t>规定</w:t>
      </w:r>
    </w:p>
    <w:p w14:paraId="5FDA7A77">
      <w:pPr>
        <w:pStyle w:val="59"/>
      </w:pPr>
      <w:r>
        <w:rPr>
          <w:rFonts w:hint="eastAsia"/>
        </w:rPr>
        <w:t>5</w:t>
      </w:r>
      <w:r>
        <w:rPr>
          <w:rFonts w:hint="eastAsia"/>
          <w:spacing w:val="20"/>
        </w:rPr>
        <w:t>.</w:t>
      </w:r>
      <w:r>
        <w:rPr>
          <w:rFonts w:hint="eastAsia"/>
        </w:rPr>
        <w:t>3 其他要求</w:t>
      </w:r>
    </w:p>
    <w:p w14:paraId="17B41314">
      <w:pPr>
        <w:ind w:left="840" w:hanging="420"/>
      </w:pPr>
      <w:r>
        <w:rPr>
          <w:rFonts w:hint="eastAsia"/>
        </w:rPr>
        <w:t>a) 每批漆包线均应尽可能具有相同的特性。</w:t>
      </w:r>
    </w:p>
    <w:p w14:paraId="453CB488">
      <w:pPr>
        <w:ind w:left="840" w:hanging="420"/>
      </w:pPr>
      <w:r>
        <w:rPr>
          <w:rFonts w:hint="eastAsia"/>
        </w:rPr>
        <w:t>b) 必须取得</w:t>
      </w:r>
      <w:r>
        <w:t>国家级检测机构出具</w:t>
      </w:r>
      <w:r>
        <w:rPr>
          <w:rFonts w:hint="eastAsia"/>
        </w:rPr>
        <w:t>的</w:t>
      </w:r>
      <w:r>
        <w:t>产</w:t>
      </w:r>
      <w:r>
        <w:rPr>
          <w:rFonts w:hint="eastAsia"/>
        </w:rPr>
        <w:t>品检测报告。</w:t>
      </w:r>
    </w:p>
    <w:p w14:paraId="47D43C25">
      <w:pPr>
        <w:pStyle w:val="59"/>
      </w:pPr>
      <w:bookmarkStart w:id="9" w:name="_Toc358552337"/>
      <w:bookmarkStart w:id="10" w:name="_Toc358552375"/>
      <w:bookmarkStart w:id="11" w:name="_Toc363387107"/>
      <w:bookmarkStart w:id="12" w:name="_Toc363243289"/>
      <w:bookmarkStart w:id="13" w:name="_Toc363381650"/>
      <w:r>
        <w:t>5.</w:t>
      </w:r>
      <w:r>
        <w:rPr>
          <w:rFonts w:hint="eastAsia"/>
        </w:rPr>
        <w:t>4　标志、包装、运输</w:t>
      </w:r>
      <w:bookmarkEnd w:id="9"/>
      <w:bookmarkEnd w:id="10"/>
      <w:r>
        <w:rPr>
          <w:rFonts w:hint="eastAsia"/>
        </w:rPr>
        <w:t>、贮存</w:t>
      </w:r>
      <w:bookmarkEnd w:id="11"/>
      <w:bookmarkEnd w:id="12"/>
      <w:bookmarkEnd w:id="13"/>
    </w:p>
    <w:p w14:paraId="3DBC91DB">
      <w:pPr>
        <w:pStyle w:val="59"/>
      </w:pPr>
      <w:r>
        <w:rPr>
          <w:rFonts w:hint="eastAsia"/>
        </w:rPr>
        <w:t>5.4.1标志</w:t>
      </w:r>
    </w:p>
    <w:p w14:paraId="4B52B7A6">
      <w:pPr>
        <w:topLinePunct/>
        <w:spacing w:line="312" w:lineRule="exact"/>
        <w:ind w:firstLine="420"/>
        <w:rPr>
          <w:szCs w:val="21"/>
        </w:rPr>
      </w:pPr>
      <w:r>
        <w:rPr>
          <w:rFonts w:hint="eastAsia"/>
          <w:szCs w:val="21"/>
        </w:rPr>
        <w:t>投标人应对货物包装进行完善的标志，以便招标人接收货物，</w:t>
      </w:r>
      <w:r>
        <w:rPr>
          <w:szCs w:val="21"/>
        </w:rPr>
        <w:t>每盘线要有明显标签，标签内容应包含下述内容：</w:t>
      </w:r>
    </w:p>
    <w:p w14:paraId="3F5C3F09">
      <w:pPr>
        <w:ind w:left="840" w:hanging="420"/>
      </w:pPr>
      <w:r>
        <w:t>a) 制造厂商商标；</w:t>
      </w:r>
    </w:p>
    <w:p w14:paraId="50EB0D0B">
      <w:pPr>
        <w:ind w:left="840" w:hanging="420"/>
      </w:pPr>
      <w:r>
        <w:t>b) 漆包线和漆膜种类，例如产品名称和/或国家标准编号；</w:t>
      </w:r>
    </w:p>
    <w:p w14:paraId="6460317E">
      <w:pPr>
        <w:ind w:left="840" w:hanging="420"/>
      </w:pPr>
      <w:r>
        <w:t>c) 批次编号；</w:t>
      </w:r>
    </w:p>
    <w:p w14:paraId="59578816">
      <w:pPr>
        <w:ind w:left="840" w:hanging="420"/>
      </w:pPr>
      <w:r>
        <w:t>d) 漆包线净重；</w:t>
      </w:r>
    </w:p>
    <w:p w14:paraId="0E0CA19E">
      <w:pPr>
        <w:ind w:left="840" w:hanging="420"/>
      </w:pPr>
      <w:r>
        <w:t>e) 漆包线标称尺寸和漆膜级别；</w:t>
      </w:r>
    </w:p>
    <w:p w14:paraId="7904E1AE">
      <w:pPr>
        <w:ind w:left="840" w:hanging="420"/>
      </w:pPr>
      <w:r>
        <w:t>f) 制造日期。</w:t>
      </w:r>
    </w:p>
    <w:p w14:paraId="6D668676">
      <w:pPr>
        <w:pStyle w:val="59"/>
      </w:pPr>
      <w:r>
        <w:rPr>
          <w:rFonts w:hint="eastAsia"/>
        </w:rPr>
        <w:t>5.4.2包装及运输</w:t>
      </w:r>
    </w:p>
    <w:p w14:paraId="4D66B740">
      <w:pPr>
        <w:topLinePunct/>
        <w:spacing w:line="312" w:lineRule="exact"/>
        <w:ind w:firstLine="420"/>
        <w:rPr>
          <w:szCs w:val="21"/>
        </w:rPr>
      </w:pPr>
      <w:r>
        <w:rPr>
          <w:szCs w:val="21"/>
        </w:rPr>
        <w:t>漆包线应均匀紧密地绕制在交货线盘上（线盘由供应商提供），线盘上的接头应不超过一个，当多于一个时供方应在标签上标明或在包装上标识出线段的长度。</w:t>
      </w:r>
    </w:p>
    <w:p w14:paraId="70D5994B">
      <w:pPr>
        <w:topLinePunct/>
        <w:spacing w:line="312" w:lineRule="exact"/>
        <w:ind w:firstLine="420"/>
        <w:rPr>
          <w:szCs w:val="21"/>
        </w:rPr>
      </w:pPr>
      <w:r>
        <w:rPr>
          <w:szCs w:val="21"/>
        </w:rPr>
        <w:t>运输时要有防水、防潮、防磕碰措施，每盘线要求立装，严禁倒放。</w:t>
      </w:r>
    </w:p>
    <w:p w14:paraId="6AD083BA">
      <w:pPr>
        <w:topLinePunct/>
        <w:spacing w:line="312" w:lineRule="exact"/>
        <w:ind w:firstLine="420"/>
        <w:rPr>
          <w:szCs w:val="21"/>
        </w:rPr>
      </w:pPr>
      <w:r>
        <w:rPr>
          <w:rFonts w:hint="eastAsia"/>
          <w:szCs w:val="21"/>
        </w:rPr>
        <w:t>投标人应妥善考虑货物的包装、运输，招标人在接收货物时会进行货物包装、元件外观的进厂检验、且为完全检验，因包装、运输不完善造成的元件损伤，招标方有权要求投标方进行无条件更换。</w:t>
      </w:r>
    </w:p>
    <w:p w14:paraId="155DB54A">
      <w:pPr>
        <w:pStyle w:val="60"/>
        <w:outlineLvl w:val="0"/>
      </w:pPr>
      <w:bookmarkStart w:id="14" w:name="_Toc438720046"/>
      <w:r>
        <w:rPr>
          <w:rFonts w:hint="eastAsia"/>
        </w:rPr>
        <w:t>6　试验</w:t>
      </w:r>
      <w:bookmarkEnd w:id="14"/>
    </w:p>
    <w:p w14:paraId="34C85E30">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00B2F505">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7CCA3756">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抽检试验由招标方委托第三方检验机构如电力工业电力设备及仪表质量检验测试中心配电系统产品及中低压电器质检站完成。</w:t>
      </w:r>
    </w:p>
    <w:p w14:paraId="1C00BB22">
      <w:pPr>
        <w:pStyle w:val="59"/>
      </w:pPr>
      <w:r>
        <w:rPr>
          <w:rFonts w:hint="eastAsia"/>
        </w:rPr>
        <w:t>6</w:t>
      </w:r>
      <w:r>
        <w:rPr>
          <w:rFonts w:hint="eastAsia"/>
          <w:spacing w:val="20"/>
        </w:rPr>
        <w:t>.</w:t>
      </w:r>
      <w:r>
        <w:rPr>
          <w:rFonts w:hint="eastAsia"/>
        </w:rPr>
        <w:t>4　出厂试验</w:t>
      </w:r>
    </w:p>
    <w:p w14:paraId="21B1A2E3">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1　</w:t>
      </w:r>
      <w:r>
        <w:rPr>
          <w:rFonts w:hint="eastAsia"/>
          <w:snapToGrid w:val="0"/>
          <w:szCs w:val="21"/>
        </w:rPr>
        <w:t>每一批次产品在出厂时都应进行出厂试验，均应按相应的标准通过出厂试验。</w:t>
      </w:r>
    </w:p>
    <w:p w14:paraId="5794A6B7">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2　</w:t>
      </w:r>
      <w:r>
        <w:rPr>
          <w:rFonts w:hint="eastAsia"/>
          <w:snapToGrid w:val="0"/>
          <w:szCs w:val="21"/>
        </w:rPr>
        <w:t>出厂试验项目：</w:t>
      </w:r>
    </w:p>
    <w:p w14:paraId="26EE6799">
      <w:pPr>
        <w:ind w:left="840" w:hanging="420"/>
      </w:pPr>
      <w:r>
        <w:t>a</w:t>
      </w:r>
      <w:r>
        <w:rPr>
          <w:rFonts w:hint="eastAsia"/>
        </w:rPr>
        <w:t>）</w:t>
      </w:r>
      <w:r>
        <w:tab/>
      </w:r>
      <w:r>
        <w:rPr>
          <w:rFonts w:hint="eastAsia"/>
        </w:rPr>
        <w:t>外观检查</w:t>
      </w:r>
    </w:p>
    <w:p w14:paraId="1B50C30F">
      <w:pPr>
        <w:ind w:left="840" w:hanging="420"/>
      </w:pPr>
      <w:r>
        <w:t>b</w:t>
      </w:r>
      <w:r>
        <w:rPr>
          <w:rFonts w:hint="eastAsia"/>
        </w:rPr>
        <w:t>）</w:t>
      </w:r>
      <w:r>
        <w:tab/>
      </w:r>
      <w:r>
        <w:rPr>
          <w:rFonts w:hint="eastAsia"/>
        </w:rPr>
        <w:t>尺寸检查</w:t>
      </w:r>
    </w:p>
    <w:p w14:paraId="42ECE0D7">
      <w:pPr>
        <w:pStyle w:val="59"/>
        <w:rPr>
          <w:rFonts w:hint="eastAsia"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5　抽检试验</w:t>
      </w:r>
    </w:p>
    <w:p w14:paraId="2AF7D3F1">
      <w:pPr>
        <w:topLinePunct/>
        <w:spacing w:line="312" w:lineRule="exact"/>
        <w:rPr>
          <w:szCs w:val="21"/>
        </w:rPr>
      </w:pPr>
      <w:r>
        <w:rPr>
          <w:rFonts w:hint="eastAsia" w:ascii="黑体" w:hAnsi="黑体" w:eastAsia="黑体"/>
          <w:snapToGrid w:val="0"/>
          <w:color w:val="000000"/>
          <w:kern w:val="44"/>
          <w:szCs w:val="21"/>
        </w:rPr>
        <w:t>6.5.1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设备及仪表质量检验测试中心配电系统产品及中低压电器质检站）进行检测，检测方将检测结果报采购方审核确定，检测费用由投标人承担。</w:t>
      </w:r>
    </w:p>
    <w:p w14:paraId="066077DB">
      <w:pPr>
        <w:topLinePunct/>
        <w:spacing w:line="312" w:lineRule="exact"/>
        <w:rPr>
          <w:szCs w:val="21"/>
        </w:rPr>
      </w:pPr>
      <w:r>
        <w:rPr>
          <w:rFonts w:hint="eastAsia" w:ascii="黑体" w:hAnsi="黑体" w:eastAsia="黑体"/>
          <w:snapToGrid w:val="0"/>
          <w:color w:val="000000"/>
          <w:kern w:val="44"/>
          <w:szCs w:val="21"/>
        </w:rPr>
        <w:t>6.5.2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p>
    <w:p w14:paraId="0626FE7A">
      <w:pPr>
        <w:topLinePunct/>
        <w:spacing w:line="312" w:lineRule="exact"/>
        <w:rPr>
          <w:szCs w:val="21"/>
        </w:rPr>
      </w:pPr>
      <w:r>
        <w:rPr>
          <w:rFonts w:hint="eastAsia" w:ascii="黑体" w:hAnsi="黑体" w:eastAsia="黑体"/>
          <w:snapToGrid w:val="0"/>
          <w:color w:val="000000"/>
          <w:kern w:val="44"/>
          <w:szCs w:val="21"/>
        </w:rPr>
        <w:t>6.5.3</w:t>
      </w:r>
      <w:r>
        <w:rPr>
          <w:rFonts w:hint="eastAsia" w:ascii="EU-F1"/>
          <w:szCs w:val="21"/>
        </w:rPr>
        <w:t>　</w:t>
      </w:r>
      <w:r>
        <w:rPr>
          <w:rFonts w:hint="eastAsia"/>
          <w:szCs w:val="21"/>
        </w:rPr>
        <w:t>抽检项目：（包含但不限于）</w:t>
      </w:r>
    </w:p>
    <w:p w14:paraId="404B23E2">
      <w:pPr>
        <w:ind w:left="840" w:hanging="420"/>
      </w:pPr>
      <w:bookmarkStart w:id="15" w:name="_Toc438720047"/>
      <w:r>
        <w:t>a</w:t>
      </w:r>
      <w:r>
        <w:rPr>
          <w:rFonts w:hint="eastAsia"/>
        </w:rPr>
        <w:t>）</w:t>
      </w:r>
      <w:r>
        <w:tab/>
      </w:r>
      <w:r>
        <w:rPr>
          <w:rFonts w:hint="eastAsia"/>
        </w:rPr>
        <w:t>外观检查</w:t>
      </w:r>
    </w:p>
    <w:p w14:paraId="56B9FD9F">
      <w:pPr>
        <w:ind w:left="840" w:hanging="420"/>
      </w:pPr>
      <w:r>
        <w:t>b</w:t>
      </w:r>
      <w:r>
        <w:rPr>
          <w:rFonts w:hint="eastAsia"/>
        </w:rPr>
        <w:t>）</w:t>
      </w:r>
      <w:r>
        <w:tab/>
      </w:r>
      <w:r>
        <w:rPr>
          <w:rFonts w:hint="eastAsia"/>
        </w:rPr>
        <w:t>尺寸检查</w:t>
      </w:r>
    </w:p>
    <w:p w14:paraId="3F932F8D">
      <w:pPr>
        <w:ind w:left="840" w:hanging="420"/>
      </w:pPr>
      <w:r>
        <w:t>c</w:t>
      </w:r>
      <w:r>
        <w:rPr>
          <w:rFonts w:hint="eastAsia"/>
        </w:rPr>
        <w:t>）</w:t>
      </w:r>
      <w:r>
        <w:tab/>
      </w:r>
      <w:r>
        <w:rPr>
          <w:rFonts w:hint="eastAsia"/>
        </w:rPr>
        <w:t>电阻测量</w:t>
      </w:r>
    </w:p>
    <w:p w14:paraId="5780117B">
      <w:pPr>
        <w:pStyle w:val="60"/>
        <w:outlineLvl w:val="0"/>
      </w:pPr>
      <w:r>
        <w:rPr>
          <w:rFonts w:hint="eastAsia"/>
        </w:rPr>
        <w:t>7　技术服务、工厂检验</w:t>
      </w:r>
      <w:bookmarkEnd w:id="15"/>
    </w:p>
    <w:p w14:paraId="075FED79">
      <w:pPr>
        <w:pStyle w:val="59"/>
      </w:pPr>
      <w:r>
        <w:rPr>
          <w:rFonts w:hint="eastAsia"/>
        </w:rPr>
        <w:t>7</w:t>
      </w:r>
      <w:r>
        <w:rPr>
          <w:rFonts w:hint="eastAsia"/>
          <w:spacing w:val="20"/>
        </w:rPr>
        <w:t>.</w:t>
      </w:r>
      <w:r>
        <w:rPr>
          <w:rFonts w:hint="eastAsia"/>
        </w:rPr>
        <w:t>1　技术服务</w:t>
      </w:r>
    </w:p>
    <w:p w14:paraId="04E447D9">
      <w:pPr>
        <w:topLinePunct/>
        <w:spacing w:line="312" w:lineRule="exact"/>
        <w:ind w:firstLine="210" w:firstLineChars="100"/>
        <w:rPr>
          <w:snapToGrid w:val="0"/>
          <w:szCs w:val="21"/>
        </w:rPr>
      </w:pPr>
      <w:r>
        <w:rPr>
          <w:rFonts w:hint="eastAsia" w:ascii="EU-F1"/>
          <w:snapToGrid w:val="0"/>
          <w:szCs w:val="21"/>
        </w:rPr>
        <w:t>　</w:t>
      </w:r>
      <w:r>
        <w:rPr>
          <w:rFonts w:hint="eastAsia"/>
          <w:snapToGrid w:val="0"/>
          <w:szCs w:val="21"/>
        </w:rPr>
        <w:t>任务和责任：</w:t>
      </w:r>
    </w:p>
    <w:p w14:paraId="3DF3D581">
      <w:pPr>
        <w:ind w:left="840" w:hanging="420"/>
      </w:pPr>
      <w:r>
        <w:t>a</w:t>
      </w:r>
      <w:r>
        <w:rPr>
          <w:rFonts w:hint="eastAsia"/>
        </w:rPr>
        <w:t>）</w:t>
      </w:r>
      <w:r>
        <w:tab/>
      </w:r>
      <w:r>
        <w:rPr>
          <w:rFonts w:hint="eastAsia"/>
        </w:rPr>
        <w:t>投标人技术人员应按合同规定完成有关产品的服务。</w:t>
      </w:r>
    </w:p>
    <w:p w14:paraId="0A2CFBDC">
      <w:pPr>
        <w:ind w:left="840" w:hanging="420"/>
      </w:pPr>
      <w:r>
        <w:t>b</w:t>
      </w:r>
      <w:r>
        <w:rPr>
          <w:rFonts w:hint="eastAsia"/>
        </w:rPr>
        <w:t>）</w:t>
      </w:r>
      <w:r>
        <w:tab/>
      </w:r>
      <w:r>
        <w:rPr>
          <w:rFonts w:hint="eastAsia"/>
        </w:rPr>
        <w:t>投标人技术人员应对招标人人员详细地解释技术文件、产品特性、分析方法和有关的注意事项等，以及解答和解决招标人在合同范围内提出的技术问题。</w:t>
      </w:r>
    </w:p>
    <w:p w14:paraId="58F8AD53">
      <w:pPr>
        <w:ind w:left="840" w:hanging="420"/>
      </w:pPr>
      <w:r>
        <w:rPr>
          <w:rFonts w:hint="eastAsia"/>
        </w:rPr>
        <w:t>c）</w:t>
      </w:r>
      <w:r>
        <w:tab/>
      </w:r>
      <w:r>
        <w:rPr>
          <w:rFonts w:hint="eastAsia"/>
        </w:rPr>
        <w:t>投标人技术人员的技术指导应是正确的，如因错误指导而引起产品和材料的损坏，投标人应负责修复、更换和（或）补充，费用由投标人承担，该费用中还包括进行修补期间所发生的服务费。招标人的有关技术人员应尊重卖方技术人员的技术指导。</w:t>
      </w:r>
    </w:p>
    <w:p w14:paraId="09137851">
      <w:pPr>
        <w:ind w:left="840" w:hanging="420"/>
      </w:pPr>
      <w:r>
        <w:rPr>
          <w:rFonts w:hint="eastAsia"/>
        </w:rPr>
        <w:t>d）</w:t>
      </w:r>
      <w:r>
        <w:tab/>
      </w:r>
      <w:r>
        <w:rPr>
          <w:rFonts w:hint="eastAsia"/>
        </w:rPr>
        <w:t>投标人代表应充分理解招标人对安装、调试工作提出的技术和质量方面的意见和建议，使产品达到双方都满意的质量。</w:t>
      </w:r>
      <w:bookmarkStart w:id="16" w:name="_Toc327369532"/>
    </w:p>
    <w:bookmarkEnd w:id="16"/>
    <w:p w14:paraId="636F1BD1">
      <w:pPr>
        <w:pStyle w:val="59"/>
      </w:pPr>
      <w:r>
        <w:rPr>
          <w:rFonts w:hint="eastAsia"/>
        </w:rPr>
        <w:t>7</w:t>
      </w:r>
      <w:r>
        <w:rPr>
          <w:rFonts w:hint="eastAsia"/>
          <w:spacing w:val="20"/>
        </w:rPr>
        <w:t>.</w:t>
      </w:r>
      <w:r>
        <w:rPr>
          <w:rFonts w:hint="eastAsia"/>
        </w:rPr>
        <w:t>2　</w:t>
      </w:r>
      <w:r>
        <w:rPr>
          <w:rFonts w:hint="eastAsia"/>
          <w:snapToGrid w:val="0"/>
        </w:rPr>
        <w:t>工厂检验</w:t>
      </w:r>
    </w:p>
    <w:p w14:paraId="72AE71E6">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招标人有权派遣其检验人员到投标人的车间场所，对合同产品的加工制造进行检验。</w:t>
      </w:r>
    </w:p>
    <w:p w14:paraId="01046668">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如经检验和试验有不符合技术规范的合同产品，招标人可以拒收，投标人应无偿给予更换。</w:t>
      </w:r>
    </w:p>
    <w:p w14:paraId="32D8BE5B">
      <w:pPr>
        <w:topLinePunct/>
        <w:spacing w:line="312" w:lineRule="exact"/>
        <w:rPr>
          <w:rFonts w:hint="eastAsia"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产品运到招标人后，招标人有进行检验、试验和拒收（如果必要时）的权力，不得因该合同产品在原产地发运以前已经由招标人或其代表进行过检验并已通过作为理由而受到限制。投标人应在开始进行工厂试验前</w:t>
      </w:r>
      <w:r>
        <w:rPr>
          <w:rFonts w:hint="eastAsia" w:ascii="宋体" w:hAnsi="宋体"/>
          <w:snapToGrid w:val="0"/>
          <w:szCs w:val="21"/>
          <w:u w:val="single"/>
        </w:rPr>
        <w:t>　3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2　</w:t>
      </w:r>
      <w:r>
        <w:rPr>
          <w:rFonts w:hint="eastAsia" w:ascii="宋体" w:hAnsi="宋体"/>
          <w:snapToGrid w:val="0"/>
          <w:szCs w:val="21"/>
        </w:rPr>
        <w:t>天内通知投标人。招标人技术人员前往投标人生产现场，观察和了解该合同产品工厂试验的情况及其运输包装的情况时，若发现任一货物的质量不符合合同规定的标准，或包装不满足要求，招标人技术人员有权发表意见，投标人应认真考虑其意见，并采取必要措施以确保合同产品的质量。</w:t>
      </w:r>
    </w:p>
    <w:p w14:paraId="4C2C044E">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2CF19C3D">
      <w:pPr>
        <w:pStyle w:val="59"/>
      </w:pPr>
      <w:bookmarkStart w:id="17" w:name="_Toc178439789"/>
      <w:bookmarkStart w:id="18" w:name="_Toc269375989"/>
      <w:r>
        <w:rPr>
          <w:rFonts w:hint="eastAsia"/>
        </w:rPr>
        <w:t>7</w:t>
      </w:r>
      <w:r>
        <w:rPr>
          <w:rFonts w:hint="eastAsia"/>
          <w:spacing w:val="20"/>
        </w:rPr>
        <w:t>.3</w:t>
      </w:r>
      <w:r>
        <w:rPr>
          <w:rFonts w:hint="eastAsia"/>
        </w:rPr>
        <w:t>　</w:t>
      </w:r>
      <w:r>
        <w:rPr>
          <w:rFonts w:hint="eastAsia"/>
          <w:snapToGrid w:val="0"/>
        </w:rPr>
        <w:t>售后服务</w:t>
      </w:r>
    </w:p>
    <w:bookmarkEnd w:id="17"/>
    <w:bookmarkEnd w:id="18"/>
    <w:p w14:paraId="40D6E531">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保修期内产品出现不符合功能和技术指标要求的，供方应负责无偿修理或更换；保修期外供方更换损坏的产品，按成本收取维修费用。</w:t>
      </w:r>
    </w:p>
    <w:p w14:paraId="70BC92DE">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62A61A30">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出现异常、产品缺陷、元件损坏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小时内响应，并立即派出项目技术人员在</w:t>
      </w:r>
      <w:r>
        <w:rPr>
          <w:snapToGrid w:val="0"/>
          <w:kern w:val="0"/>
          <w:szCs w:val="21"/>
        </w:rPr>
        <w:t>48</w:t>
      </w:r>
      <w:r>
        <w:rPr>
          <w:rFonts w:hint="eastAsia"/>
          <w:snapToGrid w:val="0"/>
          <w:kern w:val="0"/>
          <w:szCs w:val="21"/>
        </w:rPr>
        <w:t>小时内到达现场进行处理。</w:t>
      </w:r>
    </w:p>
    <w:p w14:paraId="55625243">
      <w:pPr>
        <w:pStyle w:val="60"/>
        <w:outlineLvl w:val="0"/>
      </w:pPr>
      <w:bookmarkStart w:id="19" w:name="_Toc438720048"/>
      <w:r>
        <w:rPr>
          <w:rFonts w:hint="eastAsia"/>
        </w:rPr>
        <w:t>8　报价表</w:t>
      </w:r>
      <w:bookmarkEnd w:id="19"/>
    </w:p>
    <w:p w14:paraId="70D25C9D">
      <w:pPr>
        <w:topLinePunct/>
        <w:spacing w:line="312" w:lineRule="exact"/>
        <w:ind w:firstLine="420"/>
        <w:rPr>
          <w:szCs w:val="21"/>
        </w:r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p w14:paraId="3562D62E">
      <w:pPr>
        <w:topLinePunct/>
        <w:spacing w:line="312" w:lineRule="exact"/>
        <w:ind w:firstLine="420"/>
        <w:rPr>
          <w:szCs w:val="21"/>
        </w:rPr>
      </w:pPr>
    </w:p>
    <w:p w14:paraId="1A3FED85">
      <w:pPr>
        <w:topLinePunct/>
        <w:spacing w:line="312" w:lineRule="exact"/>
        <w:ind w:firstLine="420"/>
        <w:rPr>
          <w:szCs w:val="21"/>
        </w:rPr>
      </w:pPr>
    </w:p>
    <w:p w14:paraId="5B454DB0">
      <w:pPr>
        <w:topLinePunct/>
        <w:spacing w:line="312" w:lineRule="exact"/>
        <w:ind w:firstLine="420"/>
        <w:rPr>
          <w:szCs w:val="21"/>
        </w:rPr>
      </w:pPr>
    </w:p>
    <w:p w14:paraId="65EFA46E">
      <w:pPr>
        <w:topLinePunct/>
        <w:spacing w:line="312" w:lineRule="exact"/>
        <w:ind w:firstLine="420"/>
        <w:rPr>
          <w:szCs w:val="21"/>
        </w:rPr>
      </w:pPr>
    </w:p>
    <w:p w14:paraId="03D8FE4C">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p>
    <w:tbl>
      <w:tblPr>
        <w:tblStyle w:val="38"/>
        <w:tblW w:w="13060" w:type="dxa"/>
        <w:tblInd w:w="97" w:type="dxa"/>
        <w:tblLayout w:type="fixed"/>
        <w:tblCellMar>
          <w:top w:w="0" w:type="dxa"/>
          <w:left w:w="108" w:type="dxa"/>
          <w:bottom w:w="0" w:type="dxa"/>
          <w:right w:w="108" w:type="dxa"/>
        </w:tblCellMar>
      </w:tblPr>
      <w:tblGrid>
        <w:gridCol w:w="720"/>
        <w:gridCol w:w="2084"/>
        <w:gridCol w:w="3811"/>
        <w:gridCol w:w="1373"/>
        <w:gridCol w:w="750"/>
        <w:gridCol w:w="1281"/>
        <w:gridCol w:w="1365"/>
        <w:gridCol w:w="1676"/>
      </w:tblGrid>
      <w:tr w14:paraId="68585E8D">
        <w:tblPrEx>
          <w:tblCellMar>
            <w:top w:w="0" w:type="dxa"/>
            <w:left w:w="108" w:type="dxa"/>
            <w:bottom w:w="0" w:type="dxa"/>
            <w:right w:w="108" w:type="dxa"/>
          </w:tblCellMar>
        </w:tblPrEx>
        <w:trPr>
          <w:trHeight w:val="1355" w:hRule="atLeast"/>
        </w:trPr>
        <w:tc>
          <w:tcPr>
            <w:tcW w:w="13060" w:type="dxa"/>
            <w:gridSpan w:val="8"/>
            <w:tcBorders>
              <w:top w:val="nil"/>
              <w:left w:val="nil"/>
              <w:bottom w:val="single" w:color="auto" w:sz="4" w:space="0"/>
              <w:right w:val="nil"/>
            </w:tcBorders>
            <w:shd w:val="clear" w:color="auto" w:fill="auto"/>
            <w:vAlign w:val="center"/>
          </w:tcPr>
          <w:p w14:paraId="5736B20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报价汇总表</w:t>
            </w:r>
          </w:p>
        </w:tc>
      </w:tr>
      <w:tr w14:paraId="60D6DC61">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130474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2084" w:type="dxa"/>
            <w:tcBorders>
              <w:top w:val="nil"/>
              <w:left w:val="nil"/>
              <w:bottom w:val="single" w:color="auto" w:sz="4" w:space="0"/>
              <w:right w:val="single" w:color="auto" w:sz="4" w:space="0"/>
            </w:tcBorders>
            <w:shd w:val="clear" w:color="auto" w:fill="auto"/>
            <w:vAlign w:val="center"/>
          </w:tcPr>
          <w:p w14:paraId="542B328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名称</w:t>
            </w:r>
          </w:p>
        </w:tc>
        <w:tc>
          <w:tcPr>
            <w:tcW w:w="3811" w:type="dxa"/>
            <w:tcBorders>
              <w:top w:val="nil"/>
              <w:left w:val="nil"/>
              <w:bottom w:val="single" w:color="auto" w:sz="4" w:space="0"/>
              <w:right w:val="single" w:color="auto" w:sz="4" w:space="0"/>
            </w:tcBorders>
            <w:shd w:val="clear" w:color="auto" w:fill="auto"/>
            <w:vAlign w:val="center"/>
          </w:tcPr>
          <w:p w14:paraId="183E46A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规格型号</w:t>
            </w:r>
          </w:p>
        </w:tc>
        <w:tc>
          <w:tcPr>
            <w:tcW w:w="1373" w:type="dxa"/>
            <w:tcBorders>
              <w:top w:val="nil"/>
              <w:left w:val="nil"/>
              <w:bottom w:val="single" w:color="auto" w:sz="4" w:space="0"/>
              <w:right w:val="single" w:color="auto" w:sz="4" w:space="0"/>
            </w:tcBorders>
            <w:shd w:val="clear" w:color="auto" w:fill="auto"/>
            <w:vAlign w:val="center"/>
          </w:tcPr>
          <w:p w14:paraId="282A285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750" w:type="dxa"/>
            <w:tcBorders>
              <w:top w:val="nil"/>
              <w:left w:val="nil"/>
              <w:bottom w:val="single" w:color="auto" w:sz="4" w:space="0"/>
              <w:right w:val="single" w:color="auto" w:sz="4" w:space="0"/>
            </w:tcBorders>
            <w:shd w:val="clear" w:color="auto" w:fill="auto"/>
            <w:vAlign w:val="center"/>
          </w:tcPr>
          <w:p w14:paraId="7459CAF2">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数量</w:t>
            </w:r>
          </w:p>
        </w:tc>
        <w:tc>
          <w:tcPr>
            <w:tcW w:w="1281" w:type="dxa"/>
            <w:tcBorders>
              <w:top w:val="nil"/>
              <w:left w:val="nil"/>
              <w:bottom w:val="single" w:color="auto" w:sz="4" w:space="0"/>
              <w:right w:val="single" w:color="auto" w:sz="4" w:space="0"/>
            </w:tcBorders>
            <w:shd w:val="clear" w:color="auto" w:fill="auto"/>
            <w:vAlign w:val="center"/>
          </w:tcPr>
          <w:p w14:paraId="33CB9B1A">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单价</w:t>
            </w:r>
          </w:p>
        </w:tc>
        <w:tc>
          <w:tcPr>
            <w:tcW w:w="1365" w:type="dxa"/>
            <w:tcBorders>
              <w:top w:val="nil"/>
              <w:left w:val="nil"/>
              <w:bottom w:val="single" w:color="auto" w:sz="4" w:space="0"/>
              <w:right w:val="single" w:color="auto" w:sz="4" w:space="0"/>
            </w:tcBorders>
            <w:shd w:val="clear" w:color="auto" w:fill="auto"/>
            <w:vAlign w:val="center"/>
          </w:tcPr>
          <w:p w14:paraId="250A119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w:t>
            </w:r>
          </w:p>
        </w:tc>
        <w:tc>
          <w:tcPr>
            <w:tcW w:w="1676" w:type="dxa"/>
            <w:tcBorders>
              <w:top w:val="nil"/>
              <w:left w:val="nil"/>
              <w:bottom w:val="single" w:color="auto" w:sz="4" w:space="0"/>
              <w:right w:val="single" w:color="auto" w:sz="4" w:space="0"/>
            </w:tcBorders>
            <w:shd w:val="clear" w:color="auto" w:fill="auto"/>
            <w:vAlign w:val="center"/>
          </w:tcPr>
          <w:p w14:paraId="0E51528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其他说明</w:t>
            </w:r>
          </w:p>
        </w:tc>
      </w:tr>
      <w:tr w14:paraId="72F0B8EF">
        <w:tblPrEx>
          <w:tblCellMar>
            <w:top w:w="0" w:type="dxa"/>
            <w:left w:w="108" w:type="dxa"/>
            <w:bottom w:w="0" w:type="dxa"/>
            <w:right w:w="108" w:type="dxa"/>
          </w:tblCellMar>
        </w:tblPrEx>
        <w:trPr>
          <w:trHeight w:val="323"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DD153F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2084" w:type="dxa"/>
            <w:tcBorders>
              <w:top w:val="nil"/>
              <w:left w:val="nil"/>
              <w:bottom w:val="single" w:color="auto" w:sz="4" w:space="0"/>
              <w:right w:val="single" w:color="auto" w:sz="4" w:space="0"/>
            </w:tcBorders>
            <w:shd w:val="clear" w:color="auto" w:fill="auto"/>
            <w:vAlign w:val="center"/>
          </w:tcPr>
          <w:p w14:paraId="528E5B8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漆包扁铜线加工费</w:t>
            </w:r>
          </w:p>
        </w:tc>
        <w:tc>
          <w:tcPr>
            <w:tcW w:w="3811" w:type="dxa"/>
            <w:tcBorders>
              <w:top w:val="nil"/>
              <w:left w:val="nil"/>
              <w:bottom w:val="single" w:color="auto" w:sz="4" w:space="0"/>
              <w:right w:val="single" w:color="auto" w:sz="4" w:space="0"/>
            </w:tcBorders>
            <w:shd w:val="clear" w:color="auto" w:fill="auto"/>
            <w:vAlign w:val="center"/>
          </w:tcPr>
          <w:p w14:paraId="3A5A4A7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QZB-2  2.18x3.25/2.325x3.395</w:t>
            </w:r>
          </w:p>
        </w:tc>
        <w:tc>
          <w:tcPr>
            <w:tcW w:w="1373" w:type="dxa"/>
            <w:tcBorders>
              <w:top w:val="nil"/>
              <w:left w:val="nil"/>
              <w:bottom w:val="single" w:color="auto" w:sz="4" w:space="0"/>
              <w:right w:val="single" w:color="auto" w:sz="4" w:space="0"/>
            </w:tcBorders>
            <w:shd w:val="clear" w:color="auto" w:fill="auto"/>
            <w:vAlign w:val="center"/>
          </w:tcPr>
          <w:p w14:paraId="34E7C42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公斤</w:t>
            </w:r>
          </w:p>
        </w:tc>
        <w:tc>
          <w:tcPr>
            <w:tcW w:w="750" w:type="dxa"/>
            <w:tcBorders>
              <w:top w:val="nil"/>
              <w:left w:val="nil"/>
              <w:bottom w:val="single" w:color="auto" w:sz="4" w:space="0"/>
              <w:right w:val="single" w:color="auto" w:sz="4" w:space="0"/>
            </w:tcBorders>
            <w:shd w:val="clear" w:color="auto" w:fill="auto"/>
            <w:vAlign w:val="center"/>
          </w:tcPr>
          <w:p w14:paraId="3A5D990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281" w:type="dxa"/>
            <w:tcBorders>
              <w:top w:val="nil"/>
              <w:left w:val="nil"/>
              <w:bottom w:val="single" w:color="auto" w:sz="4" w:space="0"/>
              <w:right w:val="single" w:color="auto" w:sz="4" w:space="0"/>
            </w:tcBorders>
            <w:shd w:val="clear" w:color="auto" w:fill="auto"/>
            <w:vAlign w:val="center"/>
          </w:tcPr>
          <w:p w14:paraId="33C3D771">
            <w:pPr>
              <w:widowControl/>
              <w:jc w:val="left"/>
              <w:rPr>
                <w:rFonts w:hint="eastAsia" w:ascii="宋体" w:hAnsi="宋体" w:cs="宋体"/>
                <w:color w:val="000000"/>
                <w:kern w:val="0"/>
                <w:sz w:val="22"/>
                <w:szCs w:val="22"/>
              </w:rPr>
            </w:pPr>
          </w:p>
        </w:tc>
        <w:tc>
          <w:tcPr>
            <w:tcW w:w="1365" w:type="dxa"/>
            <w:tcBorders>
              <w:top w:val="nil"/>
              <w:left w:val="nil"/>
              <w:bottom w:val="single" w:color="auto" w:sz="4" w:space="0"/>
              <w:right w:val="single" w:color="auto" w:sz="4" w:space="0"/>
            </w:tcBorders>
            <w:shd w:val="clear" w:color="auto" w:fill="auto"/>
            <w:vAlign w:val="center"/>
          </w:tcPr>
          <w:p w14:paraId="7B2CCB3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6" w:type="dxa"/>
            <w:tcBorders>
              <w:top w:val="nil"/>
              <w:left w:val="nil"/>
              <w:bottom w:val="single" w:color="auto" w:sz="4" w:space="0"/>
              <w:right w:val="single" w:color="auto" w:sz="4" w:space="0"/>
            </w:tcBorders>
            <w:shd w:val="clear" w:color="auto" w:fill="auto"/>
            <w:vAlign w:val="center"/>
          </w:tcPr>
          <w:p w14:paraId="007DBE0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4DC3F0A1">
        <w:tblPrEx>
          <w:tblCellMar>
            <w:top w:w="0" w:type="dxa"/>
            <w:left w:w="108" w:type="dxa"/>
            <w:bottom w:w="0" w:type="dxa"/>
            <w:right w:w="108" w:type="dxa"/>
          </w:tblCellMar>
        </w:tblPrEx>
        <w:trPr>
          <w:trHeight w:val="287" w:hRule="atLeast"/>
        </w:trPr>
        <w:tc>
          <w:tcPr>
            <w:tcW w:w="873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5535B6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总计</w:t>
            </w:r>
          </w:p>
        </w:tc>
        <w:tc>
          <w:tcPr>
            <w:tcW w:w="1281" w:type="dxa"/>
            <w:tcBorders>
              <w:top w:val="nil"/>
              <w:left w:val="nil"/>
              <w:bottom w:val="single" w:color="auto" w:sz="4" w:space="0"/>
              <w:right w:val="single" w:color="auto" w:sz="4" w:space="0"/>
            </w:tcBorders>
            <w:shd w:val="clear" w:color="auto" w:fill="auto"/>
            <w:vAlign w:val="center"/>
          </w:tcPr>
          <w:p w14:paraId="49E656A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365" w:type="dxa"/>
            <w:tcBorders>
              <w:top w:val="nil"/>
              <w:left w:val="nil"/>
              <w:bottom w:val="single" w:color="auto" w:sz="4" w:space="0"/>
              <w:right w:val="single" w:color="auto" w:sz="4" w:space="0"/>
            </w:tcBorders>
            <w:shd w:val="clear" w:color="auto" w:fill="auto"/>
            <w:vAlign w:val="center"/>
          </w:tcPr>
          <w:p w14:paraId="2498505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6" w:type="dxa"/>
            <w:tcBorders>
              <w:top w:val="nil"/>
              <w:left w:val="nil"/>
              <w:bottom w:val="single" w:color="auto" w:sz="4" w:space="0"/>
              <w:right w:val="single" w:color="auto" w:sz="4" w:space="0"/>
            </w:tcBorders>
            <w:shd w:val="clear" w:color="auto" w:fill="auto"/>
            <w:vAlign w:val="center"/>
          </w:tcPr>
          <w:p w14:paraId="024FE2F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3EE4BC13">
        <w:tblPrEx>
          <w:tblCellMar>
            <w:top w:w="0" w:type="dxa"/>
            <w:left w:w="108" w:type="dxa"/>
            <w:bottom w:w="0" w:type="dxa"/>
            <w:right w:w="108" w:type="dxa"/>
          </w:tblCellMar>
        </w:tblPrEx>
        <w:trPr>
          <w:trHeight w:val="414" w:hRule="atLeast"/>
        </w:trPr>
        <w:tc>
          <w:tcPr>
            <w:tcW w:w="130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70F33FD5">
            <w:pPr>
              <w:rPr>
                <w:rFonts w:hint="eastAsia" w:ascii="宋体" w:hAnsi="宋体" w:cs="宋体"/>
                <w:color w:val="000000"/>
                <w:kern w:val="0"/>
                <w:sz w:val="22"/>
                <w:szCs w:val="22"/>
              </w:rPr>
            </w:pPr>
            <w:r>
              <w:rPr>
                <w:rFonts w:hint="eastAsia"/>
                <w:color w:val="000000"/>
                <w:sz w:val="22"/>
                <w:szCs w:val="22"/>
              </w:rPr>
              <w:t>说明：1、投标单位需严格按照此格式进行报价。</w:t>
            </w:r>
            <w:bookmarkStart w:id="20" w:name="_GoBack"/>
            <w:bookmarkEnd w:id="20"/>
          </w:p>
        </w:tc>
      </w:tr>
      <w:tr w14:paraId="483995DE">
        <w:tblPrEx>
          <w:tblCellMar>
            <w:top w:w="0" w:type="dxa"/>
            <w:left w:w="108" w:type="dxa"/>
            <w:bottom w:w="0" w:type="dxa"/>
            <w:right w:w="108" w:type="dxa"/>
          </w:tblCellMar>
        </w:tblPrEx>
        <w:trPr>
          <w:trHeight w:val="414" w:hRule="atLeast"/>
        </w:trPr>
        <w:tc>
          <w:tcPr>
            <w:tcW w:w="130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680FFBBE">
            <w:pPr>
              <w:rPr>
                <w:rFonts w:hint="eastAsia" w:ascii="宋体" w:hAnsi="宋体" w:cs="宋体"/>
                <w:color w:val="000000"/>
                <w:kern w:val="0"/>
                <w:sz w:val="22"/>
                <w:szCs w:val="22"/>
              </w:rPr>
            </w:pPr>
            <w:r>
              <w:rPr>
                <w:rFonts w:hint="eastAsia"/>
                <w:color w:val="000000"/>
                <w:sz w:val="22"/>
                <w:szCs w:val="22"/>
              </w:rPr>
              <w:t>2、</w:t>
            </w:r>
            <w:r>
              <w:rPr>
                <w:rFonts w:hint="eastAsia" w:ascii="宋体" w:hAnsi="宋体" w:cs="宋体"/>
                <w:color w:val="000000"/>
                <w:kern w:val="0"/>
                <w:sz w:val="22"/>
                <w:szCs w:val="22"/>
              </w:rPr>
              <w:t>招标报价只报加工费用。</w:t>
            </w:r>
          </w:p>
        </w:tc>
      </w:tr>
      <w:tr w14:paraId="382F1D34">
        <w:tblPrEx>
          <w:tblCellMar>
            <w:top w:w="0" w:type="dxa"/>
            <w:left w:w="108" w:type="dxa"/>
            <w:bottom w:w="0" w:type="dxa"/>
            <w:right w:w="108" w:type="dxa"/>
          </w:tblCellMar>
        </w:tblPrEx>
        <w:trPr>
          <w:trHeight w:val="421" w:hRule="atLeast"/>
        </w:trPr>
        <w:tc>
          <w:tcPr>
            <w:tcW w:w="130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64374A6D">
            <w:pPr>
              <w:rPr>
                <w:rFonts w:hint="eastAsia"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3、本招标为年度框架招标，本报价仅列出常用型号，用户报价时需提供产品样本及价格表，如采购时产生不在本报价型号的产品型号，则产品单价将按对应中标金额计算。项目价另议。</w:t>
            </w:r>
          </w:p>
        </w:tc>
      </w:tr>
      <w:tr w14:paraId="0667DEA6">
        <w:tblPrEx>
          <w:tblCellMar>
            <w:top w:w="0" w:type="dxa"/>
            <w:left w:w="108" w:type="dxa"/>
            <w:bottom w:w="0" w:type="dxa"/>
            <w:right w:w="108" w:type="dxa"/>
          </w:tblCellMar>
        </w:tblPrEx>
        <w:trPr>
          <w:trHeight w:val="421" w:hRule="atLeast"/>
        </w:trPr>
        <w:tc>
          <w:tcPr>
            <w:tcW w:w="130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0280130F">
            <w:pPr>
              <w:widowControl/>
              <w:jc w:val="left"/>
              <w:rPr>
                <w:rFonts w:hint="eastAsia" w:ascii="宋体" w:hAnsi="宋体" w:cs="宋体"/>
                <w:color w:val="000000"/>
                <w:kern w:val="0"/>
                <w:sz w:val="22"/>
                <w:szCs w:val="22"/>
              </w:rPr>
            </w:pPr>
          </w:p>
        </w:tc>
      </w:tr>
    </w:tbl>
    <w:p w14:paraId="69513513">
      <w:pPr>
        <w:topLinePunct/>
        <w:spacing w:line="312" w:lineRule="exact"/>
      </w:pPr>
    </w:p>
    <w:p w14:paraId="69885DAA">
      <w:pPr>
        <w:topLinePunct/>
        <w:spacing w:line="312" w:lineRule="exa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decorative"/>
    <w:pitch w:val="default"/>
    <w:sig w:usb0="00000000" w:usb1="00000000" w:usb2="00000012" w:usb3="00000000" w:csb0="00040000" w:csb1="00000000"/>
  </w:font>
  <w:font w:name="汉仪大宋简">
    <w:altName w:val="宋体"/>
    <w:panose1 w:val="00000000000000000000"/>
    <w:charset w:val="86"/>
    <w:family w:val="decorative"/>
    <w:pitch w:val="default"/>
    <w:sig w:usb0="00000000" w:usb1="00000000" w:usb2="00000012" w:usb3="00000000" w:csb0="00040000" w:csb1="00000000"/>
  </w:font>
  <w:font w:name="汉仪书宋二简">
    <w:altName w:val="宋体"/>
    <w:panose1 w:val="00000000000000000000"/>
    <w:charset w:val="86"/>
    <w:family w:val="decorative"/>
    <w:pitch w:val="default"/>
    <w:sig w:usb0="00000000" w:usb1="00000000" w:usb2="00000012"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decorative"/>
    <w:pitch w:val="default"/>
    <w:sig w:usb0="00000000" w:usb1="00000000" w:usb2="00000010" w:usb3="00000000" w:csb0="00040000" w:csb1="00000000"/>
  </w:font>
  <w:font w:name="仿宋_GB2312">
    <w:altName w:val="仿宋"/>
    <w:panose1 w:val="00000000000000000000"/>
    <w:charset w:val="86"/>
    <w:family w:val="decorative"/>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57B4D">
    <w:pPr>
      <w:pStyle w:val="26"/>
      <w:jc w:val="center"/>
    </w:pPr>
    <w:r>
      <w:fldChar w:fldCharType="begin"/>
    </w:r>
    <w:r>
      <w:instrText xml:space="preserve"> PAGE   \* MERGEFORMAT </w:instrText>
    </w:r>
    <w:r>
      <w:fldChar w:fldCharType="separate"/>
    </w:r>
    <w:r>
      <w:t>3</w:t>
    </w:r>
    <w:r>
      <w:rPr>
        <w:lang w:val="zh-CN"/>
      </w:rPr>
      <w:fldChar w:fldCharType="end"/>
    </w:r>
  </w:p>
  <w:p w14:paraId="14D332DB">
    <w:pPr>
      <w:pStyle w:val="26"/>
    </w:pPr>
  </w:p>
  <w:p w14:paraId="5E15EE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DA588">
    <w:pPr>
      <w:pStyle w:val="26"/>
      <w:jc w:val="center"/>
    </w:pPr>
    <w:r>
      <w:fldChar w:fldCharType="begin"/>
    </w:r>
    <w:r>
      <w:instrText xml:space="preserve"> PAGE   \* MERGEFORMAT </w:instrText>
    </w:r>
    <w:r>
      <w:fldChar w:fldCharType="separate"/>
    </w:r>
    <w:r>
      <w:t>1</w:t>
    </w:r>
    <w:r>
      <w:rPr>
        <w:lang w:val="zh-CN"/>
      </w:rPr>
      <w:fldChar w:fldCharType="end"/>
    </w:r>
  </w:p>
  <w:p w14:paraId="7E067F8E">
    <w:pPr>
      <w:pStyle w:val="26"/>
    </w:pPr>
  </w:p>
  <w:p w14:paraId="2BB01786"/>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14FF"/>
    <w:rsid w:val="00002DB1"/>
    <w:rsid w:val="00006B18"/>
    <w:rsid w:val="00010CA8"/>
    <w:rsid w:val="000129FA"/>
    <w:rsid w:val="00021C97"/>
    <w:rsid w:val="00026D8C"/>
    <w:rsid w:val="00027790"/>
    <w:rsid w:val="00045CC3"/>
    <w:rsid w:val="00052B72"/>
    <w:rsid w:val="0005717F"/>
    <w:rsid w:val="0006061E"/>
    <w:rsid w:val="00061FA9"/>
    <w:rsid w:val="00066494"/>
    <w:rsid w:val="000769B5"/>
    <w:rsid w:val="00077CBC"/>
    <w:rsid w:val="00082C16"/>
    <w:rsid w:val="000A7A21"/>
    <w:rsid w:val="000B7D0B"/>
    <w:rsid w:val="000E0865"/>
    <w:rsid w:val="000E71D5"/>
    <w:rsid w:val="000F0DBA"/>
    <w:rsid w:val="0011087F"/>
    <w:rsid w:val="00124CF9"/>
    <w:rsid w:val="00125A87"/>
    <w:rsid w:val="001273B0"/>
    <w:rsid w:val="001313B0"/>
    <w:rsid w:val="001352A0"/>
    <w:rsid w:val="001358F8"/>
    <w:rsid w:val="00136A81"/>
    <w:rsid w:val="00141416"/>
    <w:rsid w:val="00146E6B"/>
    <w:rsid w:val="00150D82"/>
    <w:rsid w:val="00151200"/>
    <w:rsid w:val="00155E6D"/>
    <w:rsid w:val="00167BB5"/>
    <w:rsid w:val="00172A27"/>
    <w:rsid w:val="00176673"/>
    <w:rsid w:val="00187CDB"/>
    <w:rsid w:val="00191947"/>
    <w:rsid w:val="001A0F14"/>
    <w:rsid w:val="001B224E"/>
    <w:rsid w:val="001D3F56"/>
    <w:rsid w:val="001D49C5"/>
    <w:rsid w:val="001D4A24"/>
    <w:rsid w:val="001D5A98"/>
    <w:rsid w:val="001D7370"/>
    <w:rsid w:val="001E6672"/>
    <w:rsid w:val="002068E4"/>
    <w:rsid w:val="00206B25"/>
    <w:rsid w:val="0021356F"/>
    <w:rsid w:val="00223B9C"/>
    <w:rsid w:val="00231234"/>
    <w:rsid w:val="002435A4"/>
    <w:rsid w:val="00244374"/>
    <w:rsid w:val="0024587E"/>
    <w:rsid w:val="0024602B"/>
    <w:rsid w:val="002471DD"/>
    <w:rsid w:val="00252AEC"/>
    <w:rsid w:val="00256966"/>
    <w:rsid w:val="00261356"/>
    <w:rsid w:val="00272408"/>
    <w:rsid w:val="00282E60"/>
    <w:rsid w:val="002A1454"/>
    <w:rsid w:val="002A42DE"/>
    <w:rsid w:val="002A660A"/>
    <w:rsid w:val="002A7817"/>
    <w:rsid w:val="002B3EC8"/>
    <w:rsid w:val="002B590D"/>
    <w:rsid w:val="002E011C"/>
    <w:rsid w:val="002E4C2F"/>
    <w:rsid w:val="002F1B42"/>
    <w:rsid w:val="002F33B7"/>
    <w:rsid w:val="002F4C3E"/>
    <w:rsid w:val="00312593"/>
    <w:rsid w:val="00316B25"/>
    <w:rsid w:val="00317233"/>
    <w:rsid w:val="00325A4B"/>
    <w:rsid w:val="003350ED"/>
    <w:rsid w:val="00342D0E"/>
    <w:rsid w:val="003446BE"/>
    <w:rsid w:val="0035001B"/>
    <w:rsid w:val="0036382B"/>
    <w:rsid w:val="00370DD9"/>
    <w:rsid w:val="00371318"/>
    <w:rsid w:val="00371960"/>
    <w:rsid w:val="0039276B"/>
    <w:rsid w:val="0039367F"/>
    <w:rsid w:val="003A7357"/>
    <w:rsid w:val="003B3648"/>
    <w:rsid w:val="003D15AE"/>
    <w:rsid w:val="003D5865"/>
    <w:rsid w:val="004112D2"/>
    <w:rsid w:val="00414289"/>
    <w:rsid w:val="0042491D"/>
    <w:rsid w:val="00425581"/>
    <w:rsid w:val="00430A12"/>
    <w:rsid w:val="00436935"/>
    <w:rsid w:val="004452CF"/>
    <w:rsid w:val="004454B6"/>
    <w:rsid w:val="00451FFE"/>
    <w:rsid w:val="00452D23"/>
    <w:rsid w:val="00464F99"/>
    <w:rsid w:val="004847E0"/>
    <w:rsid w:val="00484986"/>
    <w:rsid w:val="00490823"/>
    <w:rsid w:val="004967D5"/>
    <w:rsid w:val="00496952"/>
    <w:rsid w:val="004A3B04"/>
    <w:rsid w:val="004A6249"/>
    <w:rsid w:val="004B68FC"/>
    <w:rsid w:val="004B7A1A"/>
    <w:rsid w:val="004D4C3E"/>
    <w:rsid w:val="004F38D0"/>
    <w:rsid w:val="004F4CA4"/>
    <w:rsid w:val="004F6235"/>
    <w:rsid w:val="004F7249"/>
    <w:rsid w:val="0051013C"/>
    <w:rsid w:val="005171F8"/>
    <w:rsid w:val="00520783"/>
    <w:rsid w:val="0052167C"/>
    <w:rsid w:val="00523E8F"/>
    <w:rsid w:val="005245C7"/>
    <w:rsid w:val="00525E78"/>
    <w:rsid w:val="00530EA7"/>
    <w:rsid w:val="00531593"/>
    <w:rsid w:val="005344AB"/>
    <w:rsid w:val="00535693"/>
    <w:rsid w:val="0053754C"/>
    <w:rsid w:val="00537784"/>
    <w:rsid w:val="00537CF9"/>
    <w:rsid w:val="00540D02"/>
    <w:rsid w:val="005462BC"/>
    <w:rsid w:val="00546798"/>
    <w:rsid w:val="00546D74"/>
    <w:rsid w:val="0055011F"/>
    <w:rsid w:val="00554825"/>
    <w:rsid w:val="00556469"/>
    <w:rsid w:val="005676DC"/>
    <w:rsid w:val="00571B35"/>
    <w:rsid w:val="005756DA"/>
    <w:rsid w:val="005827F8"/>
    <w:rsid w:val="0059071D"/>
    <w:rsid w:val="005A3753"/>
    <w:rsid w:val="005B1212"/>
    <w:rsid w:val="005B4054"/>
    <w:rsid w:val="005B555D"/>
    <w:rsid w:val="005C0C18"/>
    <w:rsid w:val="005D1FDF"/>
    <w:rsid w:val="005E1592"/>
    <w:rsid w:val="005E1B98"/>
    <w:rsid w:val="005F028B"/>
    <w:rsid w:val="005F333E"/>
    <w:rsid w:val="00600CA9"/>
    <w:rsid w:val="00601806"/>
    <w:rsid w:val="00606E08"/>
    <w:rsid w:val="006145F4"/>
    <w:rsid w:val="006206EA"/>
    <w:rsid w:val="00633249"/>
    <w:rsid w:val="00637FF3"/>
    <w:rsid w:val="00645032"/>
    <w:rsid w:val="00645E30"/>
    <w:rsid w:val="006668F2"/>
    <w:rsid w:val="00667ED6"/>
    <w:rsid w:val="00667FA5"/>
    <w:rsid w:val="006758B7"/>
    <w:rsid w:val="006A3C8E"/>
    <w:rsid w:val="006B4021"/>
    <w:rsid w:val="006B5CE9"/>
    <w:rsid w:val="006C741F"/>
    <w:rsid w:val="006D0D90"/>
    <w:rsid w:val="006D4013"/>
    <w:rsid w:val="006E43B3"/>
    <w:rsid w:val="006F330A"/>
    <w:rsid w:val="006F40F2"/>
    <w:rsid w:val="007003F0"/>
    <w:rsid w:val="0070306E"/>
    <w:rsid w:val="007316C4"/>
    <w:rsid w:val="00732EE4"/>
    <w:rsid w:val="00742004"/>
    <w:rsid w:val="00742362"/>
    <w:rsid w:val="007468D5"/>
    <w:rsid w:val="00764A6F"/>
    <w:rsid w:val="00764BDD"/>
    <w:rsid w:val="00795068"/>
    <w:rsid w:val="007A466A"/>
    <w:rsid w:val="007B7452"/>
    <w:rsid w:val="007C1A2E"/>
    <w:rsid w:val="007D36A6"/>
    <w:rsid w:val="007D5311"/>
    <w:rsid w:val="007D6A90"/>
    <w:rsid w:val="007E0501"/>
    <w:rsid w:val="007E21A9"/>
    <w:rsid w:val="007E264C"/>
    <w:rsid w:val="007E6EA1"/>
    <w:rsid w:val="00803E4B"/>
    <w:rsid w:val="00813604"/>
    <w:rsid w:val="00824563"/>
    <w:rsid w:val="008308D9"/>
    <w:rsid w:val="00845124"/>
    <w:rsid w:val="0084608A"/>
    <w:rsid w:val="00855A6F"/>
    <w:rsid w:val="00857EFD"/>
    <w:rsid w:val="00886579"/>
    <w:rsid w:val="008936C7"/>
    <w:rsid w:val="008A5D41"/>
    <w:rsid w:val="008B0D4D"/>
    <w:rsid w:val="008B2A3C"/>
    <w:rsid w:val="008B3CDB"/>
    <w:rsid w:val="008C0D01"/>
    <w:rsid w:val="008C17E2"/>
    <w:rsid w:val="008C20C8"/>
    <w:rsid w:val="008C646A"/>
    <w:rsid w:val="008E210E"/>
    <w:rsid w:val="008E430D"/>
    <w:rsid w:val="008E5827"/>
    <w:rsid w:val="00915AB6"/>
    <w:rsid w:val="00917651"/>
    <w:rsid w:val="00936528"/>
    <w:rsid w:val="00942878"/>
    <w:rsid w:val="0095761E"/>
    <w:rsid w:val="0096314C"/>
    <w:rsid w:val="009726C6"/>
    <w:rsid w:val="0098209D"/>
    <w:rsid w:val="00996674"/>
    <w:rsid w:val="009A05FE"/>
    <w:rsid w:val="009A1695"/>
    <w:rsid w:val="009A5D36"/>
    <w:rsid w:val="009A5F72"/>
    <w:rsid w:val="009A72DB"/>
    <w:rsid w:val="009B45E3"/>
    <w:rsid w:val="009E1523"/>
    <w:rsid w:val="009E40CA"/>
    <w:rsid w:val="009E4A81"/>
    <w:rsid w:val="009E65C0"/>
    <w:rsid w:val="009E7D2C"/>
    <w:rsid w:val="009F60D9"/>
    <w:rsid w:val="00A00BA0"/>
    <w:rsid w:val="00A02AD9"/>
    <w:rsid w:val="00A037CD"/>
    <w:rsid w:val="00A216F9"/>
    <w:rsid w:val="00A27D4D"/>
    <w:rsid w:val="00A41E92"/>
    <w:rsid w:val="00A463D3"/>
    <w:rsid w:val="00A53559"/>
    <w:rsid w:val="00A81653"/>
    <w:rsid w:val="00A900DF"/>
    <w:rsid w:val="00A93372"/>
    <w:rsid w:val="00AA6DC4"/>
    <w:rsid w:val="00AB2450"/>
    <w:rsid w:val="00AB35A8"/>
    <w:rsid w:val="00AD1D38"/>
    <w:rsid w:val="00AD4748"/>
    <w:rsid w:val="00AD7CA0"/>
    <w:rsid w:val="00AE3AF0"/>
    <w:rsid w:val="00AE5B60"/>
    <w:rsid w:val="00AF6B41"/>
    <w:rsid w:val="00B04D82"/>
    <w:rsid w:val="00B22133"/>
    <w:rsid w:val="00B36662"/>
    <w:rsid w:val="00B4117D"/>
    <w:rsid w:val="00B50432"/>
    <w:rsid w:val="00B5239A"/>
    <w:rsid w:val="00B56FAC"/>
    <w:rsid w:val="00B8123C"/>
    <w:rsid w:val="00B9061F"/>
    <w:rsid w:val="00B946D4"/>
    <w:rsid w:val="00BA592E"/>
    <w:rsid w:val="00BB61F7"/>
    <w:rsid w:val="00BC29F4"/>
    <w:rsid w:val="00BD261E"/>
    <w:rsid w:val="00BD4271"/>
    <w:rsid w:val="00BD7DED"/>
    <w:rsid w:val="00BD7E3C"/>
    <w:rsid w:val="00BE0372"/>
    <w:rsid w:val="00BE262E"/>
    <w:rsid w:val="00BE5AB5"/>
    <w:rsid w:val="00BF11D3"/>
    <w:rsid w:val="00BF1BCE"/>
    <w:rsid w:val="00BF6ECE"/>
    <w:rsid w:val="00C0401A"/>
    <w:rsid w:val="00C1068F"/>
    <w:rsid w:val="00C12F2F"/>
    <w:rsid w:val="00C173ED"/>
    <w:rsid w:val="00C27061"/>
    <w:rsid w:val="00C31F24"/>
    <w:rsid w:val="00C43771"/>
    <w:rsid w:val="00C4463A"/>
    <w:rsid w:val="00C51C65"/>
    <w:rsid w:val="00C63D0F"/>
    <w:rsid w:val="00C7132A"/>
    <w:rsid w:val="00C71565"/>
    <w:rsid w:val="00C762DE"/>
    <w:rsid w:val="00C8209C"/>
    <w:rsid w:val="00C91614"/>
    <w:rsid w:val="00C927BF"/>
    <w:rsid w:val="00C969AE"/>
    <w:rsid w:val="00CD1EE2"/>
    <w:rsid w:val="00CD32B4"/>
    <w:rsid w:val="00CE07C7"/>
    <w:rsid w:val="00CE338D"/>
    <w:rsid w:val="00CE6474"/>
    <w:rsid w:val="00CF1ABA"/>
    <w:rsid w:val="00CF3168"/>
    <w:rsid w:val="00CF4144"/>
    <w:rsid w:val="00D135CE"/>
    <w:rsid w:val="00D16E3D"/>
    <w:rsid w:val="00D2191D"/>
    <w:rsid w:val="00D24413"/>
    <w:rsid w:val="00D372D8"/>
    <w:rsid w:val="00D4391A"/>
    <w:rsid w:val="00D44C09"/>
    <w:rsid w:val="00D52591"/>
    <w:rsid w:val="00D57DD3"/>
    <w:rsid w:val="00D6378E"/>
    <w:rsid w:val="00D832F2"/>
    <w:rsid w:val="00DA46BD"/>
    <w:rsid w:val="00DA5F26"/>
    <w:rsid w:val="00DB28D4"/>
    <w:rsid w:val="00DB37A2"/>
    <w:rsid w:val="00DB6992"/>
    <w:rsid w:val="00DC2537"/>
    <w:rsid w:val="00DC5EFD"/>
    <w:rsid w:val="00DE0103"/>
    <w:rsid w:val="00DE0835"/>
    <w:rsid w:val="00DE4135"/>
    <w:rsid w:val="00DE4259"/>
    <w:rsid w:val="00DE6026"/>
    <w:rsid w:val="00DF1906"/>
    <w:rsid w:val="00DF448D"/>
    <w:rsid w:val="00DF44F3"/>
    <w:rsid w:val="00E1179E"/>
    <w:rsid w:val="00E16E7E"/>
    <w:rsid w:val="00E242D2"/>
    <w:rsid w:val="00E24F51"/>
    <w:rsid w:val="00E33ED8"/>
    <w:rsid w:val="00E35B94"/>
    <w:rsid w:val="00E46590"/>
    <w:rsid w:val="00E467A4"/>
    <w:rsid w:val="00E506B2"/>
    <w:rsid w:val="00E70EF5"/>
    <w:rsid w:val="00E728D3"/>
    <w:rsid w:val="00E740AD"/>
    <w:rsid w:val="00E769D1"/>
    <w:rsid w:val="00E96BDF"/>
    <w:rsid w:val="00EA135C"/>
    <w:rsid w:val="00EA48B1"/>
    <w:rsid w:val="00EA68A3"/>
    <w:rsid w:val="00EB4034"/>
    <w:rsid w:val="00EB6EB0"/>
    <w:rsid w:val="00EC6297"/>
    <w:rsid w:val="00ED202D"/>
    <w:rsid w:val="00ED410A"/>
    <w:rsid w:val="00ED6417"/>
    <w:rsid w:val="00EE463C"/>
    <w:rsid w:val="00F01EEE"/>
    <w:rsid w:val="00F11D86"/>
    <w:rsid w:val="00F16435"/>
    <w:rsid w:val="00F424CA"/>
    <w:rsid w:val="00F446C8"/>
    <w:rsid w:val="00F66FBA"/>
    <w:rsid w:val="00F80426"/>
    <w:rsid w:val="00F82F9A"/>
    <w:rsid w:val="00F86357"/>
    <w:rsid w:val="00F86E10"/>
    <w:rsid w:val="00FA1D61"/>
    <w:rsid w:val="00FA4A18"/>
    <w:rsid w:val="00FA5F99"/>
    <w:rsid w:val="00FB0704"/>
    <w:rsid w:val="00FB3FA5"/>
    <w:rsid w:val="00FB5ED2"/>
    <w:rsid w:val="00FB6B13"/>
    <w:rsid w:val="00FC73DF"/>
    <w:rsid w:val="00FD1D82"/>
    <w:rsid w:val="00FD70BE"/>
    <w:rsid w:val="00FE6D7C"/>
    <w:rsid w:val="014B38AD"/>
    <w:rsid w:val="031D37A8"/>
    <w:rsid w:val="05793607"/>
    <w:rsid w:val="06443FD4"/>
    <w:rsid w:val="06C63181"/>
    <w:rsid w:val="088F6118"/>
    <w:rsid w:val="0986659E"/>
    <w:rsid w:val="0AB4001B"/>
    <w:rsid w:val="0B403483"/>
    <w:rsid w:val="0B95098E"/>
    <w:rsid w:val="0C747083"/>
    <w:rsid w:val="113228FE"/>
    <w:rsid w:val="117B32BD"/>
    <w:rsid w:val="13205B6C"/>
    <w:rsid w:val="14C64FA3"/>
    <w:rsid w:val="15411A4F"/>
    <w:rsid w:val="175F4C67"/>
    <w:rsid w:val="19162CB4"/>
    <w:rsid w:val="1C1945A6"/>
    <w:rsid w:val="1E9F5249"/>
    <w:rsid w:val="1FEB532F"/>
    <w:rsid w:val="222A579A"/>
    <w:rsid w:val="27C2034A"/>
    <w:rsid w:val="286C4F60"/>
    <w:rsid w:val="29167977"/>
    <w:rsid w:val="2933137D"/>
    <w:rsid w:val="299D2FAB"/>
    <w:rsid w:val="2AE930F5"/>
    <w:rsid w:val="2CB21781"/>
    <w:rsid w:val="2D2F6832"/>
    <w:rsid w:val="2E6C1230"/>
    <w:rsid w:val="306D1203"/>
    <w:rsid w:val="30BE4485"/>
    <w:rsid w:val="32055AA1"/>
    <w:rsid w:val="343F0843"/>
    <w:rsid w:val="363E3B8C"/>
    <w:rsid w:val="36CE0F9D"/>
    <w:rsid w:val="38910B5D"/>
    <w:rsid w:val="3A8D3E1B"/>
    <w:rsid w:val="3CAB27D3"/>
    <w:rsid w:val="3D504924"/>
    <w:rsid w:val="3FA00970"/>
    <w:rsid w:val="41F9564C"/>
    <w:rsid w:val="44701E80"/>
    <w:rsid w:val="45AB21DA"/>
    <w:rsid w:val="4763732D"/>
    <w:rsid w:val="49023556"/>
    <w:rsid w:val="49224D48"/>
    <w:rsid w:val="49464F44"/>
    <w:rsid w:val="494707C7"/>
    <w:rsid w:val="4A8423CD"/>
    <w:rsid w:val="4DE51ADA"/>
    <w:rsid w:val="4DEA3A2A"/>
    <w:rsid w:val="4DEE01EB"/>
    <w:rsid w:val="4ED107DE"/>
    <w:rsid w:val="4F7E1BFB"/>
    <w:rsid w:val="505605DA"/>
    <w:rsid w:val="50C54111"/>
    <w:rsid w:val="514A216C"/>
    <w:rsid w:val="53E57531"/>
    <w:rsid w:val="548B3542"/>
    <w:rsid w:val="5552550A"/>
    <w:rsid w:val="58502974"/>
    <w:rsid w:val="59114FB0"/>
    <w:rsid w:val="5B88343B"/>
    <w:rsid w:val="5B93724D"/>
    <w:rsid w:val="5DE47A17"/>
    <w:rsid w:val="5E2A018B"/>
    <w:rsid w:val="5F62370B"/>
    <w:rsid w:val="5F9B4B6A"/>
    <w:rsid w:val="61F749C9"/>
    <w:rsid w:val="64066817"/>
    <w:rsid w:val="6A4D4AF3"/>
    <w:rsid w:val="6B8C3281"/>
    <w:rsid w:val="6DCB5D2E"/>
    <w:rsid w:val="6F21085E"/>
    <w:rsid w:val="70515157"/>
    <w:rsid w:val="74152900"/>
    <w:rsid w:val="744B0850"/>
    <w:rsid w:val="75D53B4A"/>
    <w:rsid w:val="7F1A2313"/>
    <w:rsid w:val="7FBE4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spacing w:line="240" w:lineRule="atLeast"/>
      <w:jc w:val="right"/>
      <w:outlineLvl w:val="0"/>
    </w:pPr>
    <w:rPr>
      <w:b/>
      <w:bCs/>
      <w:sz w:val="28"/>
    </w:rPr>
  </w:style>
  <w:style w:type="paragraph" w:styleId="3">
    <w:name w:val="heading 2"/>
    <w:basedOn w:val="1"/>
    <w:next w:val="1"/>
    <w:link w:val="47"/>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8"/>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49"/>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0"/>
    <w:qFormat/>
    <w:uiPriority w:val="0"/>
    <w:pPr>
      <w:keepNext/>
      <w:keepLines/>
      <w:spacing w:line="360" w:lineRule="auto"/>
      <w:outlineLvl w:val="4"/>
    </w:pPr>
    <w:rPr>
      <w:rFonts w:eastAsia="黑体"/>
      <w:szCs w:val="20"/>
    </w:rPr>
  </w:style>
  <w:style w:type="paragraph" w:styleId="7">
    <w:name w:val="heading 6"/>
    <w:basedOn w:val="1"/>
    <w:next w:val="1"/>
    <w:link w:val="51"/>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2"/>
    <w:qFormat/>
    <w:uiPriority w:val="0"/>
    <w:pPr>
      <w:keepNext/>
      <w:keepLines/>
      <w:spacing w:before="240" w:after="64" w:line="317" w:lineRule="auto"/>
      <w:outlineLvl w:val="6"/>
    </w:pPr>
    <w:rPr>
      <w:b/>
      <w:sz w:val="24"/>
      <w:szCs w:val="20"/>
    </w:rPr>
  </w:style>
  <w:style w:type="paragraph" w:styleId="9">
    <w:name w:val="heading 8"/>
    <w:basedOn w:val="1"/>
    <w:next w:val="1"/>
    <w:link w:val="53"/>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4"/>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7"/>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2"/>
    <w:qFormat/>
    <w:uiPriority w:val="0"/>
    <w:rPr>
      <w:rFonts w:ascii="宋体"/>
      <w:sz w:val="18"/>
      <w:szCs w:val="18"/>
    </w:rPr>
  </w:style>
  <w:style w:type="paragraph" w:styleId="16">
    <w:name w:val="annotation text"/>
    <w:basedOn w:val="1"/>
    <w:link w:val="68"/>
    <w:qFormat/>
    <w:uiPriority w:val="99"/>
    <w:pPr>
      <w:jc w:val="left"/>
    </w:pPr>
  </w:style>
  <w:style w:type="paragraph" w:styleId="17">
    <w:name w:val="Body Text"/>
    <w:basedOn w:val="1"/>
    <w:link w:val="75"/>
    <w:unhideWhenUsed/>
    <w:qFormat/>
    <w:uiPriority w:val="99"/>
    <w:pPr>
      <w:spacing w:after="120"/>
    </w:pPr>
  </w:style>
  <w:style w:type="paragraph" w:styleId="18">
    <w:name w:val="Body Text Indent"/>
    <w:basedOn w:val="1"/>
    <w:link w:val="78"/>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79"/>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0"/>
    <w:qFormat/>
    <w:uiPriority w:val="0"/>
    <w:pPr>
      <w:ind w:left="100" w:leftChars="2500"/>
    </w:pPr>
    <w:rPr>
      <w:kern w:val="0"/>
      <w:sz w:val="28"/>
    </w:rPr>
  </w:style>
  <w:style w:type="paragraph" w:styleId="24">
    <w:name w:val="Body Text Indent 2"/>
    <w:basedOn w:val="1"/>
    <w:link w:val="81"/>
    <w:qFormat/>
    <w:uiPriority w:val="0"/>
    <w:pPr>
      <w:ind w:firstLine="420"/>
    </w:pPr>
    <w:rPr>
      <w:rFonts w:ascii="宋体"/>
      <w:kern w:val="0"/>
      <w:sz w:val="20"/>
    </w:rPr>
  </w:style>
  <w:style w:type="paragraph" w:styleId="25">
    <w:name w:val="Balloon Text"/>
    <w:basedOn w:val="1"/>
    <w:link w:val="45"/>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2"/>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5"/>
    <w:qFormat/>
    <w:uiPriority w:val="0"/>
    <w:pPr>
      <w:spacing w:line="360" w:lineRule="auto"/>
      <w:jc w:val="center"/>
    </w:pPr>
    <w:rPr>
      <w:rFonts w:ascii="宋体" w:hAnsi="宋体"/>
      <w:szCs w:val="20"/>
    </w:rPr>
  </w:style>
  <w:style w:type="paragraph" w:styleId="36">
    <w:name w:val="annotation subject"/>
    <w:basedOn w:val="16"/>
    <w:next w:val="16"/>
    <w:link w:val="69"/>
    <w:qFormat/>
    <w:uiPriority w:val="0"/>
    <w:rPr>
      <w:b/>
      <w:bCs/>
    </w:rPr>
  </w:style>
  <w:style w:type="paragraph" w:styleId="37">
    <w:name w:val="Body Text First Indent"/>
    <w:basedOn w:val="17"/>
    <w:link w:val="76"/>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批注框文本 字符"/>
    <w:basedOn w:val="39"/>
    <w:link w:val="25"/>
    <w:qFormat/>
    <w:uiPriority w:val="99"/>
    <w:rPr>
      <w:sz w:val="18"/>
      <w:szCs w:val="18"/>
    </w:rPr>
  </w:style>
  <w:style w:type="character" w:customStyle="1" w:styleId="46">
    <w:name w:val="标题 1 字符"/>
    <w:basedOn w:val="39"/>
    <w:link w:val="2"/>
    <w:qFormat/>
    <w:uiPriority w:val="0"/>
    <w:rPr>
      <w:rFonts w:ascii="Times New Roman" w:hAnsi="Times New Roman" w:eastAsia="宋体" w:cs="Times New Roman"/>
      <w:b/>
      <w:bCs/>
      <w:sz w:val="28"/>
      <w:szCs w:val="24"/>
    </w:rPr>
  </w:style>
  <w:style w:type="character" w:customStyle="1" w:styleId="47">
    <w:name w:val="标题 2 字符"/>
    <w:basedOn w:val="39"/>
    <w:link w:val="3"/>
    <w:qFormat/>
    <w:uiPriority w:val="0"/>
    <w:rPr>
      <w:rFonts w:ascii="Times New Roman" w:hAnsi="Times New Roman" w:eastAsia="黑体" w:cs="Times New Roman"/>
      <w:szCs w:val="20"/>
    </w:rPr>
  </w:style>
  <w:style w:type="character" w:customStyle="1" w:styleId="48">
    <w:name w:val="标题 3 字符"/>
    <w:basedOn w:val="39"/>
    <w:link w:val="4"/>
    <w:qFormat/>
    <w:uiPriority w:val="9"/>
    <w:rPr>
      <w:rFonts w:ascii="Calibri" w:hAnsi="Calibri" w:eastAsia="宋体" w:cs="Times New Roman"/>
      <w:b/>
      <w:bCs/>
      <w:sz w:val="32"/>
      <w:szCs w:val="32"/>
    </w:rPr>
  </w:style>
  <w:style w:type="character" w:customStyle="1" w:styleId="49">
    <w:name w:val="标题 4 字符"/>
    <w:basedOn w:val="39"/>
    <w:link w:val="5"/>
    <w:qFormat/>
    <w:uiPriority w:val="0"/>
    <w:rPr>
      <w:rFonts w:ascii="Arial" w:hAnsi="Arial" w:eastAsia="黑体" w:cs="Times New Roman"/>
      <w:b/>
      <w:sz w:val="28"/>
      <w:szCs w:val="20"/>
    </w:rPr>
  </w:style>
  <w:style w:type="character" w:customStyle="1" w:styleId="50">
    <w:name w:val="标题 5 字符"/>
    <w:basedOn w:val="39"/>
    <w:link w:val="6"/>
    <w:qFormat/>
    <w:uiPriority w:val="0"/>
    <w:rPr>
      <w:rFonts w:ascii="Times New Roman" w:hAnsi="Times New Roman" w:eastAsia="黑体" w:cs="Times New Roman"/>
      <w:szCs w:val="20"/>
    </w:rPr>
  </w:style>
  <w:style w:type="character" w:customStyle="1" w:styleId="51">
    <w:name w:val="标题 6 字符"/>
    <w:basedOn w:val="39"/>
    <w:link w:val="7"/>
    <w:qFormat/>
    <w:uiPriority w:val="0"/>
    <w:rPr>
      <w:rFonts w:ascii="Arial" w:hAnsi="Arial" w:eastAsia="黑体" w:cs="Times New Roman"/>
      <w:b/>
      <w:sz w:val="24"/>
      <w:szCs w:val="20"/>
    </w:rPr>
  </w:style>
  <w:style w:type="character" w:customStyle="1" w:styleId="52">
    <w:name w:val="标题 7 字符"/>
    <w:basedOn w:val="39"/>
    <w:link w:val="8"/>
    <w:qFormat/>
    <w:uiPriority w:val="0"/>
    <w:rPr>
      <w:rFonts w:ascii="Times New Roman" w:hAnsi="Times New Roman" w:eastAsia="宋体" w:cs="Times New Roman"/>
      <w:b/>
      <w:sz w:val="24"/>
      <w:szCs w:val="20"/>
    </w:rPr>
  </w:style>
  <w:style w:type="character" w:customStyle="1" w:styleId="53">
    <w:name w:val="标题 8 字符"/>
    <w:basedOn w:val="39"/>
    <w:link w:val="9"/>
    <w:qFormat/>
    <w:uiPriority w:val="0"/>
    <w:rPr>
      <w:rFonts w:ascii="Arial" w:hAnsi="Arial" w:eastAsia="黑体" w:cs="Times New Roman"/>
      <w:sz w:val="24"/>
      <w:szCs w:val="20"/>
    </w:rPr>
  </w:style>
  <w:style w:type="character" w:customStyle="1" w:styleId="54">
    <w:name w:val="标题 9 字符"/>
    <w:basedOn w:val="39"/>
    <w:link w:val="10"/>
    <w:qFormat/>
    <w:uiPriority w:val="0"/>
    <w:rPr>
      <w:rFonts w:ascii="Arial" w:hAnsi="Arial" w:eastAsia="黑体" w:cs="Times New Roman"/>
      <w:szCs w:val="20"/>
    </w:rPr>
  </w:style>
  <w:style w:type="paragraph" w:customStyle="1" w:styleId="55">
    <w:name w:val="样式6"/>
    <w:basedOn w:val="1"/>
    <w:link w:val="56"/>
    <w:qFormat/>
    <w:uiPriority w:val="0"/>
    <w:pPr>
      <w:topLinePunct/>
      <w:spacing w:before="460" w:after="460" w:line="480" w:lineRule="exact"/>
      <w:jc w:val="center"/>
    </w:pPr>
    <w:rPr>
      <w:rFonts w:eastAsia="黑体"/>
      <w:sz w:val="32"/>
      <w:szCs w:val="20"/>
    </w:rPr>
  </w:style>
  <w:style w:type="character" w:customStyle="1" w:styleId="56">
    <w:name w:val="样式6 Char"/>
    <w:basedOn w:val="39"/>
    <w:link w:val="55"/>
    <w:qFormat/>
    <w:uiPriority w:val="0"/>
    <w:rPr>
      <w:rFonts w:ascii="Times New Roman" w:hAnsi="Times New Roman" w:eastAsia="黑体" w:cs="Times New Roman"/>
      <w:sz w:val="32"/>
      <w:szCs w:val="20"/>
    </w:rPr>
  </w:style>
  <w:style w:type="character" w:customStyle="1" w:styleId="57">
    <w:name w:val="页眉 字符"/>
    <w:basedOn w:val="39"/>
    <w:link w:val="27"/>
    <w:qFormat/>
    <w:uiPriority w:val="0"/>
    <w:rPr>
      <w:rFonts w:ascii="Times New Roman" w:hAnsi="Times New Roman" w:eastAsia="宋体" w:cs="Times New Roman"/>
      <w:sz w:val="18"/>
      <w:szCs w:val="18"/>
    </w:rPr>
  </w:style>
  <w:style w:type="character" w:customStyle="1" w:styleId="58">
    <w:name w:val="页脚 字符"/>
    <w:basedOn w:val="39"/>
    <w:link w:val="26"/>
    <w:qFormat/>
    <w:uiPriority w:val="0"/>
    <w:rPr>
      <w:rFonts w:ascii="Times New Roman" w:hAnsi="Times New Roman" w:eastAsia="宋体" w:cs="Times New Roman"/>
      <w:sz w:val="18"/>
      <w:szCs w:val="18"/>
    </w:rPr>
  </w:style>
  <w:style w:type="paragraph" w:customStyle="1" w:styleId="59">
    <w:name w:val="样式2"/>
    <w:basedOn w:val="1"/>
    <w:qFormat/>
    <w:uiPriority w:val="0"/>
    <w:pPr>
      <w:widowControl/>
      <w:spacing w:line="312" w:lineRule="exact"/>
    </w:pPr>
    <w:rPr>
      <w:rFonts w:ascii="EU-F1" w:eastAsia="黑体"/>
      <w:color w:val="000000"/>
      <w:kern w:val="44"/>
      <w:szCs w:val="21"/>
    </w:rPr>
  </w:style>
  <w:style w:type="paragraph" w:customStyle="1" w:styleId="60">
    <w:name w:val="样式1"/>
    <w:basedOn w:val="1"/>
    <w:link w:val="231"/>
    <w:qFormat/>
    <w:uiPriority w:val="0"/>
    <w:pPr>
      <w:spacing w:line="480" w:lineRule="auto"/>
    </w:pPr>
    <w:rPr>
      <w:rFonts w:ascii="EU-F1" w:eastAsia="黑体"/>
      <w:szCs w:val="21"/>
    </w:rPr>
  </w:style>
  <w:style w:type="paragraph" w:customStyle="1" w:styleId="61">
    <w:name w:val="表头"/>
    <w:basedOn w:val="1"/>
    <w:qFormat/>
    <w:uiPriority w:val="0"/>
    <w:pPr>
      <w:spacing w:before="160" w:after="60" w:line="312" w:lineRule="exact"/>
      <w:jc w:val="center"/>
    </w:pPr>
    <w:rPr>
      <w:rFonts w:ascii="EU-F1" w:eastAsia="黑体"/>
      <w:szCs w:val="21"/>
    </w:rPr>
  </w:style>
  <w:style w:type="paragraph" w:customStyle="1" w:styleId="62">
    <w:name w:val="图片"/>
    <w:basedOn w:val="1"/>
    <w:qFormat/>
    <w:uiPriority w:val="0"/>
    <w:pPr>
      <w:snapToGrid w:val="0"/>
      <w:spacing w:before="100" w:after="60"/>
      <w:jc w:val="center"/>
    </w:pPr>
  </w:style>
  <w:style w:type="paragraph" w:customStyle="1" w:styleId="63">
    <w:name w:val="图说"/>
    <w:basedOn w:val="1"/>
    <w:qFormat/>
    <w:uiPriority w:val="0"/>
    <w:pPr>
      <w:topLinePunct/>
      <w:spacing w:before="60" w:after="160" w:line="312" w:lineRule="exact"/>
      <w:jc w:val="center"/>
    </w:pPr>
    <w:rPr>
      <w:rFonts w:ascii="EU-F1" w:eastAsia="黑体"/>
      <w:szCs w:val="21"/>
    </w:rPr>
  </w:style>
  <w:style w:type="paragraph" w:customStyle="1" w:styleId="64">
    <w:name w:val="Char3"/>
    <w:basedOn w:val="1"/>
    <w:semiHidden/>
    <w:qFormat/>
    <w:uiPriority w:val="0"/>
    <w:rPr>
      <w:szCs w:val="20"/>
    </w:rPr>
  </w:style>
  <w:style w:type="paragraph" w:customStyle="1" w:styleId="65">
    <w:name w:val="样式4"/>
    <w:basedOn w:val="1"/>
    <w:qFormat/>
    <w:uiPriority w:val="0"/>
    <w:pPr>
      <w:spacing w:before="240" w:line="600" w:lineRule="exact"/>
      <w:jc w:val="center"/>
    </w:pPr>
    <w:rPr>
      <w:rFonts w:eastAsia="黑体"/>
      <w:sz w:val="54"/>
      <w:szCs w:val="54"/>
    </w:rPr>
  </w:style>
  <w:style w:type="paragraph" w:customStyle="1" w:styleId="66">
    <w:name w:val="样式4a"/>
    <w:basedOn w:val="1"/>
    <w:qFormat/>
    <w:uiPriority w:val="0"/>
    <w:pPr>
      <w:spacing w:line="600" w:lineRule="exact"/>
      <w:ind w:left="-113" w:right="-113"/>
      <w:jc w:val="center"/>
    </w:pPr>
    <w:rPr>
      <w:rFonts w:eastAsia="黑体"/>
      <w:sz w:val="54"/>
      <w:szCs w:val="54"/>
    </w:rPr>
  </w:style>
  <w:style w:type="paragraph" w:customStyle="1" w:styleId="67">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8">
    <w:name w:val="批注文字 字符"/>
    <w:basedOn w:val="39"/>
    <w:link w:val="16"/>
    <w:qFormat/>
    <w:uiPriority w:val="99"/>
    <w:rPr>
      <w:rFonts w:ascii="Times New Roman" w:hAnsi="Times New Roman" w:eastAsia="宋体" w:cs="Times New Roman"/>
      <w:szCs w:val="24"/>
    </w:rPr>
  </w:style>
  <w:style w:type="character" w:customStyle="1" w:styleId="69">
    <w:name w:val="批注主题 字符"/>
    <w:basedOn w:val="68"/>
    <w:link w:val="36"/>
    <w:qFormat/>
    <w:uiPriority w:val="0"/>
    <w:rPr>
      <w:rFonts w:ascii="Times New Roman" w:hAnsi="Times New Roman" w:eastAsia="宋体" w:cs="Times New Roman"/>
      <w:b/>
      <w:bCs/>
      <w:szCs w:val="24"/>
    </w:rPr>
  </w:style>
  <w:style w:type="paragraph" w:customStyle="1" w:styleId="7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默认段落字体 Para Char Char Char Char Char"/>
    <w:basedOn w:val="1"/>
    <w:semiHidden/>
    <w:qFormat/>
    <w:uiPriority w:val="0"/>
    <w:rPr>
      <w:rFonts w:ascii="宋体" w:hAnsi="宋体"/>
      <w:b/>
      <w:color w:val="000000"/>
      <w:sz w:val="24"/>
    </w:rPr>
  </w:style>
  <w:style w:type="character" w:customStyle="1" w:styleId="72">
    <w:name w:val="文档结构图 字符"/>
    <w:basedOn w:val="39"/>
    <w:link w:val="15"/>
    <w:qFormat/>
    <w:uiPriority w:val="0"/>
    <w:rPr>
      <w:rFonts w:ascii="宋体" w:hAnsi="Times New Roman" w:eastAsia="宋体" w:cs="Times New Roman"/>
      <w:sz w:val="18"/>
      <w:szCs w:val="18"/>
    </w:rPr>
  </w:style>
  <w:style w:type="character" w:customStyle="1" w:styleId="73">
    <w:name w:val="high-light-bg"/>
    <w:basedOn w:val="39"/>
    <w:qFormat/>
    <w:uiPriority w:val="0"/>
  </w:style>
  <w:style w:type="character" w:customStyle="1" w:styleId="74">
    <w:name w:val="apple-converted-space"/>
    <w:basedOn w:val="39"/>
    <w:qFormat/>
    <w:uiPriority w:val="0"/>
  </w:style>
  <w:style w:type="character" w:customStyle="1" w:styleId="75">
    <w:name w:val="正文文本 字符"/>
    <w:basedOn w:val="39"/>
    <w:link w:val="17"/>
    <w:qFormat/>
    <w:uiPriority w:val="99"/>
    <w:rPr>
      <w:rFonts w:ascii="Times New Roman" w:hAnsi="Times New Roman" w:eastAsia="宋体" w:cs="Times New Roman"/>
      <w:szCs w:val="24"/>
    </w:rPr>
  </w:style>
  <w:style w:type="character" w:customStyle="1" w:styleId="76">
    <w:name w:val="正文文本首行缩进 字符"/>
    <w:basedOn w:val="75"/>
    <w:link w:val="37"/>
    <w:qFormat/>
    <w:uiPriority w:val="0"/>
    <w:rPr>
      <w:rFonts w:ascii="Times New Roman" w:hAnsi="Times New Roman" w:eastAsia="宋体" w:cs="Times New Roman"/>
      <w:szCs w:val="24"/>
    </w:rPr>
  </w:style>
  <w:style w:type="character" w:customStyle="1" w:styleId="77">
    <w:name w:val="题注 字符"/>
    <w:link w:val="13"/>
    <w:qFormat/>
    <w:uiPriority w:val="0"/>
    <w:rPr>
      <w:rFonts w:ascii="Cambria" w:hAnsi="Cambria" w:eastAsia="黑体" w:cs="Times New Roman"/>
      <w:sz w:val="20"/>
      <w:szCs w:val="20"/>
    </w:rPr>
  </w:style>
  <w:style w:type="character" w:customStyle="1" w:styleId="78">
    <w:name w:val="正文文本缩进 字符"/>
    <w:basedOn w:val="39"/>
    <w:link w:val="18"/>
    <w:qFormat/>
    <w:uiPriority w:val="0"/>
    <w:rPr>
      <w:rFonts w:ascii="Times New Roman" w:hAnsi="Times New Roman" w:eastAsia="宋体" w:cs="Times New Roman"/>
      <w:color w:val="000000"/>
      <w:kern w:val="0"/>
      <w:sz w:val="20"/>
      <w:szCs w:val="24"/>
    </w:rPr>
  </w:style>
  <w:style w:type="character" w:customStyle="1" w:styleId="79">
    <w:name w:val="纯文本 字符"/>
    <w:basedOn w:val="39"/>
    <w:link w:val="21"/>
    <w:qFormat/>
    <w:uiPriority w:val="0"/>
    <w:rPr>
      <w:rFonts w:ascii="宋体" w:hAnsi="Courier New" w:eastAsia="宋体" w:cs="Times New Roman"/>
      <w:szCs w:val="20"/>
    </w:rPr>
  </w:style>
  <w:style w:type="character" w:customStyle="1" w:styleId="80">
    <w:name w:val="日期 字符"/>
    <w:basedOn w:val="39"/>
    <w:link w:val="23"/>
    <w:qFormat/>
    <w:uiPriority w:val="0"/>
    <w:rPr>
      <w:rFonts w:ascii="Times New Roman" w:hAnsi="Times New Roman" w:eastAsia="宋体" w:cs="Times New Roman"/>
      <w:kern w:val="0"/>
      <w:sz w:val="28"/>
      <w:szCs w:val="24"/>
    </w:rPr>
  </w:style>
  <w:style w:type="character" w:customStyle="1" w:styleId="81">
    <w:name w:val="正文文本缩进 2 字符"/>
    <w:basedOn w:val="39"/>
    <w:link w:val="24"/>
    <w:qFormat/>
    <w:uiPriority w:val="0"/>
    <w:rPr>
      <w:rFonts w:ascii="宋体" w:hAnsi="Times New Roman" w:eastAsia="宋体" w:cs="Times New Roman"/>
      <w:kern w:val="0"/>
      <w:sz w:val="20"/>
      <w:szCs w:val="24"/>
    </w:rPr>
  </w:style>
  <w:style w:type="character" w:customStyle="1" w:styleId="82">
    <w:name w:val="正文文本缩进 3 字符"/>
    <w:basedOn w:val="39"/>
    <w:link w:val="31"/>
    <w:qFormat/>
    <w:uiPriority w:val="0"/>
    <w:rPr>
      <w:rFonts w:ascii="Times New Roman" w:hAnsi="Times New Roman" w:eastAsia="宋体" w:cs="Times New Roman"/>
      <w:color w:val="0000FF"/>
      <w:kern w:val="0"/>
      <w:sz w:val="20"/>
      <w:szCs w:val="21"/>
    </w:rPr>
  </w:style>
  <w:style w:type="character" w:customStyle="1" w:styleId="83">
    <w:name w:val="标题 Char"/>
    <w:basedOn w:val="39"/>
    <w:link w:val="84"/>
    <w:qFormat/>
    <w:uiPriority w:val="0"/>
    <w:rPr>
      <w:rFonts w:eastAsia="宋体" w:asciiTheme="majorHAnsi" w:hAnsiTheme="majorHAnsi" w:cstheme="majorBidi"/>
      <w:b/>
      <w:bCs/>
      <w:sz w:val="32"/>
      <w:szCs w:val="32"/>
    </w:rPr>
  </w:style>
  <w:style w:type="paragraph" w:customStyle="1" w:styleId="84">
    <w:name w:val="标题5"/>
    <w:basedOn w:val="1"/>
    <w:next w:val="1"/>
    <w:link w:val="83"/>
    <w:unhideWhenUsed/>
    <w:qFormat/>
    <w:uiPriority w:val="0"/>
    <w:pPr>
      <w:spacing w:line="360" w:lineRule="auto"/>
      <w:jc w:val="center"/>
    </w:pPr>
    <w:rPr>
      <w:rFonts w:asciiTheme="majorHAnsi" w:hAnsiTheme="majorHAnsi" w:cstheme="majorBidi"/>
      <w:b/>
      <w:bCs/>
      <w:sz w:val="32"/>
      <w:szCs w:val="32"/>
    </w:rPr>
  </w:style>
  <w:style w:type="character" w:customStyle="1" w:styleId="85">
    <w:name w:val="标题 字符"/>
    <w:link w:val="35"/>
    <w:qFormat/>
    <w:locked/>
    <w:uiPriority w:val="0"/>
    <w:rPr>
      <w:rFonts w:ascii="宋体" w:hAnsi="宋体" w:eastAsia="宋体" w:cs="Times New Roman"/>
      <w:szCs w:val="20"/>
    </w:rPr>
  </w:style>
  <w:style w:type="paragraph" w:customStyle="1" w:styleId="86">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7">
    <w:name w:val="默认段落字体 Para Char Char Char Char"/>
    <w:basedOn w:val="1"/>
    <w:qFormat/>
    <w:uiPriority w:val="0"/>
  </w:style>
  <w:style w:type="paragraph" w:customStyle="1" w:styleId="88">
    <w:name w:val="正文内容"/>
    <w:basedOn w:val="1"/>
    <w:qFormat/>
    <w:uiPriority w:val="0"/>
    <w:pPr>
      <w:adjustRightInd w:val="0"/>
      <w:snapToGrid w:val="0"/>
    </w:pPr>
    <w:rPr>
      <w:rFonts w:ascii="宋体" w:hAnsi="宋体"/>
      <w:sz w:val="18"/>
      <w:szCs w:val="21"/>
    </w:rPr>
  </w:style>
  <w:style w:type="paragraph" w:customStyle="1" w:styleId="89">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0">
    <w:name w:val="p17"/>
    <w:basedOn w:val="1"/>
    <w:qFormat/>
    <w:uiPriority w:val="0"/>
    <w:pPr>
      <w:widowControl/>
    </w:pPr>
    <w:rPr>
      <w:kern w:val="0"/>
      <w:szCs w:val="21"/>
    </w:rPr>
  </w:style>
  <w:style w:type="paragraph" w:customStyle="1" w:styleId="91">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2">
    <w:name w:val="小五黑体"/>
    <w:basedOn w:val="1"/>
    <w:qFormat/>
    <w:uiPriority w:val="0"/>
    <w:pPr>
      <w:spacing w:line="318" w:lineRule="exact"/>
      <w:jc w:val="center"/>
    </w:pPr>
    <w:rPr>
      <w:rFonts w:ascii="汉仪中黑简" w:eastAsia="汉仪中黑简"/>
      <w:bCs/>
      <w:sz w:val="18"/>
      <w:szCs w:val="21"/>
    </w:rPr>
  </w:style>
  <w:style w:type="paragraph" w:customStyle="1" w:styleId="93">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4">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5">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6">
    <w:name w:val="表名"/>
    <w:basedOn w:val="13"/>
    <w:link w:val="97"/>
    <w:qFormat/>
    <w:uiPriority w:val="0"/>
    <w:pPr>
      <w:keepNext/>
      <w:spacing w:line="240" w:lineRule="auto"/>
      <w:ind w:firstLine="361" w:firstLineChars="150"/>
      <w:jc w:val="left"/>
    </w:pPr>
    <w:rPr>
      <w:rFonts w:ascii="黑体" w:hAnsi="黑体"/>
      <w:b/>
      <w:sz w:val="21"/>
      <w:szCs w:val="24"/>
    </w:rPr>
  </w:style>
  <w:style w:type="character" w:customStyle="1" w:styleId="97">
    <w:name w:val="表名 Char Char"/>
    <w:link w:val="96"/>
    <w:qFormat/>
    <w:uiPriority w:val="0"/>
    <w:rPr>
      <w:rFonts w:ascii="黑体" w:hAnsi="黑体" w:eastAsia="黑体" w:cs="Times New Roman"/>
      <w:b/>
      <w:szCs w:val="24"/>
    </w:rPr>
  </w:style>
  <w:style w:type="paragraph" w:customStyle="1" w:styleId="98">
    <w:name w:val="批注框文本 Char Char"/>
    <w:basedOn w:val="1"/>
    <w:qFormat/>
    <w:uiPriority w:val="99"/>
    <w:pPr>
      <w:ind w:firstLine="200" w:firstLineChars="200"/>
    </w:pPr>
    <w:rPr>
      <w:rFonts w:ascii="Arial" w:hAnsi="Arial"/>
      <w:sz w:val="18"/>
      <w:szCs w:val="18"/>
    </w:rPr>
  </w:style>
  <w:style w:type="paragraph" w:customStyle="1" w:styleId="99">
    <w:name w:val="五号黑体"/>
    <w:basedOn w:val="1"/>
    <w:qFormat/>
    <w:uiPriority w:val="0"/>
    <w:pPr>
      <w:adjustRightInd w:val="0"/>
      <w:snapToGrid w:val="0"/>
      <w:spacing w:line="320" w:lineRule="exact"/>
    </w:pPr>
    <w:rPr>
      <w:rFonts w:eastAsia="汉仪中黑简"/>
      <w:bCs/>
      <w:szCs w:val="21"/>
    </w:rPr>
  </w:style>
  <w:style w:type="paragraph" w:customStyle="1" w:styleId="100">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1">
    <w:name w:val="批注框文本1"/>
    <w:basedOn w:val="1"/>
    <w:qFormat/>
    <w:uiPriority w:val="0"/>
    <w:rPr>
      <w:rFonts w:ascii="方正小标宋_GBK" w:hAnsi="宋体" w:eastAsia="方正小标宋_GBK"/>
      <w:b/>
      <w:sz w:val="18"/>
      <w:szCs w:val="20"/>
    </w:rPr>
  </w:style>
  <w:style w:type="paragraph" w:customStyle="1" w:styleId="10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3">
    <w:name w:val="列出段落1"/>
    <w:basedOn w:val="1"/>
    <w:qFormat/>
    <w:uiPriority w:val="0"/>
    <w:pPr>
      <w:ind w:firstLine="420" w:firstLineChars="200"/>
    </w:pPr>
  </w:style>
  <w:style w:type="paragraph" w:customStyle="1" w:styleId="104">
    <w:name w:val="小四大宋"/>
    <w:basedOn w:val="1"/>
    <w:qFormat/>
    <w:uiPriority w:val="0"/>
    <w:pPr>
      <w:spacing w:line="320" w:lineRule="exact"/>
    </w:pPr>
    <w:rPr>
      <w:rFonts w:eastAsia="汉仪大宋简"/>
      <w:bCs/>
      <w:sz w:val="24"/>
      <w:szCs w:val="21"/>
    </w:rPr>
  </w:style>
  <w:style w:type="paragraph" w:customStyle="1" w:styleId="105">
    <w:name w:val="修订11"/>
    <w:qFormat/>
    <w:uiPriority w:val="0"/>
    <w:rPr>
      <w:rFonts w:ascii="Arial" w:hAnsi="Arial" w:eastAsia="宋体" w:cs="Times New Roman"/>
      <w:kern w:val="2"/>
      <w:sz w:val="21"/>
      <w:szCs w:val="22"/>
      <w:lang w:val="en-US" w:eastAsia="zh-CN" w:bidi="ar-SA"/>
    </w:rPr>
  </w:style>
  <w:style w:type="paragraph" w:customStyle="1" w:styleId="106">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7">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8">
    <w:name w:val="列出段落111"/>
    <w:basedOn w:val="1"/>
    <w:qFormat/>
    <w:uiPriority w:val="34"/>
    <w:pPr>
      <w:spacing w:line="360" w:lineRule="auto"/>
      <w:ind w:firstLine="420" w:firstLineChars="200"/>
    </w:pPr>
    <w:rPr>
      <w:rFonts w:ascii="Arial" w:hAnsi="Arial" w:cs="Arial"/>
      <w:szCs w:val="21"/>
    </w:rPr>
  </w:style>
  <w:style w:type="paragraph" w:customStyle="1" w:styleId="109">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0">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1">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2">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3">
    <w:name w:val="列出段落11"/>
    <w:basedOn w:val="1"/>
    <w:qFormat/>
    <w:uiPriority w:val="0"/>
    <w:pPr>
      <w:spacing w:line="360" w:lineRule="auto"/>
      <w:ind w:firstLine="420" w:firstLineChars="200"/>
    </w:pPr>
    <w:rPr>
      <w:rFonts w:ascii="Arial" w:hAnsi="Arial" w:cs="Arial"/>
      <w:szCs w:val="21"/>
    </w:rPr>
  </w:style>
  <w:style w:type="paragraph" w:customStyle="1" w:styleId="114">
    <w:name w:val="p0"/>
    <w:basedOn w:val="1"/>
    <w:link w:val="115"/>
    <w:qFormat/>
    <w:uiPriority w:val="0"/>
    <w:pPr>
      <w:widowControl/>
      <w:spacing w:line="500" w:lineRule="atLeast"/>
      <w:ind w:firstLine="420"/>
    </w:pPr>
    <w:rPr>
      <w:rFonts w:ascii="宋体" w:hAnsi="宋体"/>
      <w:kern w:val="0"/>
      <w:szCs w:val="21"/>
    </w:rPr>
  </w:style>
  <w:style w:type="character" w:customStyle="1" w:styleId="115">
    <w:name w:val="p0 Char Char"/>
    <w:link w:val="114"/>
    <w:qFormat/>
    <w:uiPriority w:val="0"/>
    <w:rPr>
      <w:rFonts w:ascii="宋体" w:hAnsi="宋体" w:eastAsia="宋体" w:cs="Times New Roman"/>
      <w:kern w:val="0"/>
      <w:szCs w:val="21"/>
    </w:rPr>
  </w:style>
  <w:style w:type="paragraph" w:customStyle="1" w:styleId="116">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8">
    <w:name w:val="Char Char Char Char Char Char Char"/>
    <w:basedOn w:val="1"/>
    <w:qFormat/>
    <w:uiPriority w:val="0"/>
    <w:rPr>
      <w:szCs w:val="21"/>
    </w:rPr>
  </w:style>
  <w:style w:type="paragraph" w:customStyle="1" w:styleId="119">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0">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1">
    <w:name w:val="付标题"/>
    <w:basedOn w:val="1"/>
    <w:qFormat/>
    <w:uiPriority w:val="0"/>
    <w:pPr>
      <w:adjustRightInd w:val="0"/>
      <w:spacing w:before="360" w:line="360" w:lineRule="auto"/>
      <w:jc w:val="center"/>
    </w:pPr>
    <w:rPr>
      <w:rFonts w:eastAsia="黑体"/>
      <w:kern w:val="0"/>
      <w:sz w:val="48"/>
    </w:rPr>
  </w:style>
  <w:style w:type="paragraph" w:customStyle="1" w:styleId="122">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3">
    <w:name w:val="Char Char Char Char"/>
    <w:basedOn w:val="1"/>
    <w:qFormat/>
    <w:uiPriority w:val="0"/>
    <w:rPr>
      <w:szCs w:val="21"/>
    </w:rPr>
  </w:style>
  <w:style w:type="paragraph" w:customStyle="1" w:styleId="12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5">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6">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7">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8">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0">
    <w:name w:val="p20"/>
    <w:basedOn w:val="1"/>
    <w:qFormat/>
    <w:uiPriority w:val="99"/>
    <w:pPr>
      <w:widowControl/>
      <w:spacing w:after="120"/>
    </w:pPr>
    <w:rPr>
      <w:kern w:val="0"/>
      <w:szCs w:val="21"/>
    </w:rPr>
  </w:style>
  <w:style w:type="paragraph" w:customStyle="1" w:styleId="131">
    <w:name w:val="段"/>
    <w:link w:val="132"/>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2">
    <w:name w:val="段 Char Char"/>
    <w:link w:val="131"/>
    <w:qFormat/>
    <w:uiPriority w:val="0"/>
    <w:rPr>
      <w:rFonts w:ascii="宋体" w:hAnsi="宋体" w:eastAsia="宋体" w:cs="Times New Roman"/>
      <w:kern w:val="0"/>
      <w:sz w:val="20"/>
      <w:szCs w:val="20"/>
    </w:rPr>
  </w:style>
  <w:style w:type="paragraph" w:customStyle="1" w:styleId="133">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4">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5">
    <w:name w:val="纯文本 + (符号) 宋体"/>
    <w:basedOn w:val="114"/>
    <w:link w:val="136"/>
    <w:qFormat/>
    <w:uiPriority w:val="0"/>
    <w:pPr>
      <w:spacing w:line="360" w:lineRule="auto"/>
      <w:ind w:firstLine="480" w:firstLineChars="200"/>
    </w:pPr>
    <w:rPr>
      <w:rFonts w:ascii="Times New Roman"/>
      <w:spacing w:val="20"/>
    </w:rPr>
  </w:style>
  <w:style w:type="character" w:customStyle="1" w:styleId="136">
    <w:name w:val="纯文本 + (符号) 宋体 Char"/>
    <w:link w:val="135"/>
    <w:qFormat/>
    <w:uiPriority w:val="0"/>
    <w:rPr>
      <w:rFonts w:ascii="Times New Roman" w:hAnsi="宋体" w:eastAsia="宋体" w:cs="Times New Roman"/>
      <w:spacing w:val="20"/>
      <w:kern w:val="0"/>
      <w:szCs w:val="21"/>
    </w:rPr>
  </w:style>
  <w:style w:type="paragraph" w:customStyle="1" w:styleId="13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39">
    <w:name w:val="p15"/>
    <w:basedOn w:val="1"/>
    <w:qFormat/>
    <w:uiPriority w:val="0"/>
    <w:pPr>
      <w:widowControl/>
      <w:jc w:val="left"/>
    </w:pPr>
    <w:rPr>
      <w:kern w:val="0"/>
      <w:sz w:val="18"/>
      <w:szCs w:val="18"/>
    </w:rPr>
  </w:style>
  <w:style w:type="paragraph" w:customStyle="1" w:styleId="140">
    <w:name w:val="一级条标题"/>
    <w:next w:val="1"/>
    <w:link w:val="232"/>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1">
    <w:name w:val="TOC 标题1"/>
    <w:basedOn w:val="127"/>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2">
    <w:name w:val="p16"/>
    <w:basedOn w:val="1"/>
    <w:qFormat/>
    <w:uiPriority w:val="0"/>
    <w:pPr>
      <w:widowControl/>
      <w:pBdr>
        <w:bottom w:val="single" w:color="000000" w:sz="6" w:space="1"/>
      </w:pBdr>
      <w:jc w:val="center"/>
    </w:pPr>
    <w:rPr>
      <w:kern w:val="0"/>
      <w:sz w:val="18"/>
      <w:szCs w:val="18"/>
    </w:rPr>
  </w:style>
  <w:style w:type="paragraph" w:customStyle="1" w:styleId="143">
    <w:name w:val="p18"/>
    <w:basedOn w:val="1"/>
    <w:qFormat/>
    <w:uiPriority w:val="0"/>
    <w:pPr>
      <w:widowControl/>
      <w:jc w:val="left"/>
    </w:pPr>
    <w:rPr>
      <w:kern w:val="0"/>
      <w:sz w:val="18"/>
      <w:szCs w:val="18"/>
    </w:rPr>
  </w:style>
  <w:style w:type="paragraph" w:customStyle="1" w:styleId="144">
    <w:name w:val="正文文本3"/>
    <w:basedOn w:val="1"/>
    <w:link w:val="145"/>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5">
    <w:name w:val="正文文本_"/>
    <w:link w:val="144"/>
    <w:qFormat/>
    <w:uiPriority w:val="0"/>
    <w:rPr>
      <w:rFonts w:ascii="MingLiU" w:hAnsi="MingLiU" w:eastAsia="MingLiU" w:cs="Times New Roman"/>
      <w:kern w:val="0"/>
      <w:sz w:val="22"/>
      <w:shd w:val="clear" w:color="auto" w:fill="FFFFFF"/>
      <w:lang w:val="zh-TW"/>
    </w:rPr>
  </w:style>
  <w:style w:type="paragraph" w:customStyle="1" w:styleId="146">
    <w:name w:val="纯文本1"/>
    <w:basedOn w:val="1"/>
    <w:qFormat/>
    <w:uiPriority w:val="0"/>
    <w:rPr>
      <w:rFonts w:ascii="宋体" w:hAnsi="Courier New" w:eastAsia="方正小标宋_GBK"/>
      <w:b/>
      <w:szCs w:val="20"/>
    </w:rPr>
  </w:style>
  <w:style w:type="paragraph" w:customStyle="1" w:styleId="147">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8">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49">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0">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1">
    <w:name w:val="实施日期"/>
    <w:basedOn w:val="152"/>
    <w:qFormat/>
    <w:uiPriority w:val="0"/>
    <w:pPr>
      <w:jc w:val="right"/>
    </w:pPr>
  </w:style>
  <w:style w:type="paragraph" w:customStyle="1" w:styleId="152">
    <w:name w:val="发布日期"/>
    <w:qFormat/>
    <w:uiPriority w:val="0"/>
    <w:rPr>
      <w:rFonts w:ascii="Times New Roman" w:hAnsi="Times New Roman" w:eastAsia="黑体" w:cs="Times New Roman"/>
      <w:sz w:val="28"/>
      <w:lang w:val="en-US" w:eastAsia="zh-CN" w:bidi="ar-SA"/>
    </w:rPr>
  </w:style>
  <w:style w:type="paragraph" w:customStyle="1" w:styleId="153">
    <w:name w:val="Char1"/>
    <w:basedOn w:val="1"/>
    <w:qFormat/>
    <w:uiPriority w:val="0"/>
    <w:rPr>
      <w:szCs w:val="20"/>
    </w:rPr>
  </w:style>
  <w:style w:type="paragraph" w:customStyle="1" w:styleId="154">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5">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6">
    <w:name w:val="Char3 Char Char Char"/>
    <w:basedOn w:val="1"/>
    <w:qFormat/>
    <w:uiPriority w:val="0"/>
    <w:rPr>
      <w:sz w:val="28"/>
    </w:rPr>
  </w:style>
  <w:style w:type="paragraph" w:customStyle="1" w:styleId="157">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8">
    <w:name w:val="p19"/>
    <w:basedOn w:val="1"/>
    <w:qFormat/>
    <w:uiPriority w:val="0"/>
    <w:pPr>
      <w:widowControl/>
      <w:spacing w:after="120"/>
    </w:pPr>
    <w:rPr>
      <w:kern w:val="0"/>
      <w:szCs w:val="21"/>
    </w:rPr>
  </w:style>
  <w:style w:type="paragraph" w:customStyle="1" w:styleId="1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0">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1">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2">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3">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font6"/>
    <w:basedOn w:val="1"/>
    <w:qFormat/>
    <w:uiPriority w:val="0"/>
    <w:pPr>
      <w:widowControl/>
      <w:spacing w:before="100" w:beforeAutospacing="1" w:after="100" w:afterAutospacing="1"/>
      <w:jc w:val="left"/>
    </w:pPr>
    <w:rPr>
      <w:color w:val="000000"/>
      <w:kern w:val="0"/>
      <w:szCs w:val="21"/>
    </w:rPr>
  </w:style>
  <w:style w:type="paragraph" w:customStyle="1" w:styleId="165">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8">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69">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2">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3">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5">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6">
    <w:name w:val="段落"/>
    <w:basedOn w:val="1"/>
    <w:link w:val="177"/>
    <w:qFormat/>
    <w:uiPriority w:val="0"/>
    <w:pPr>
      <w:adjustRightInd w:val="0"/>
      <w:spacing w:line="360" w:lineRule="auto"/>
      <w:ind w:firstLine="567"/>
      <w:textAlignment w:val="baseline"/>
    </w:pPr>
    <w:rPr>
      <w:rFonts w:eastAsia="仿宋_GB2312"/>
      <w:sz w:val="28"/>
      <w:szCs w:val="20"/>
    </w:rPr>
  </w:style>
  <w:style w:type="character" w:customStyle="1" w:styleId="177">
    <w:name w:val="段落 Char Char"/>
    <w:link w:val="176"/>
    <w:qFormat/>
    <w:uiPriority w:val="0"/>
    <w:rPr>
      <w:rFonts w:ascii="Times New Roman" w:hAnsi="Times New Roman" w:eastAsia="仿宋_GB2312" w:cs="Times New Roman"/>
      <w:sz w:val="28"/>
      <w:szCs w:val="20"/>
    </w:rPr>
  </w:style>
  <w:style w:type="paragraph" w:customStyle="1" w:styleId="178">
    <w:name w:val="页脚2"/>
    <w:basedOn w:val="1"/>
    <w:qFormat/>
    <w:uiPriority w:val="0"/>
    <w:pPr>
      <w:tabs>
        <w:tab w:val="center" w:pos="4153"/>
        <w:tab w:val="right" w:pos="8306"/>
      </w:tabs>
      <w:snapToGrid w:val="0"/>
      <w:jc w:val="left"/>
    </w:pPr>
    <w:rPr>
      <w:sz w:val="18"/>
      <w:szCs w:val="20"/>
    </w:rPr>
  </w:style>
  <w:style w:type="paragraph" w:customStyle="1" w:styleId="179">
    <w:name w:val="批注框文本2"/>
    <w:basedOn w:val="1"/>
    <w:qFormat/>
    <w:uiPriority w:val="0"/>
    <w:rPr>
      <w:rFonts w:ascii="方正小标宋_GBK" w:hAnsi="宋体" w:eastAsia="方正小标宋_GBK"/>
      <w:b/>
      <w:sz w:val="18"/>
      <w:szCs w:val="20"/>
    </w:rPr>
  </w:style>
  <w:style w:type="paragraph" w:customStyle="1" w:styleId="180">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1">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2">
    <w:name w:val="列出段落2"/>
    <w:basedOn w:val="1"/>
    <w:qFormat/>
    <w:uiPriority w:val="0"/>
    <w:pPr>
      <w:spacing w:line="360" w:lineRule="auto"/>
      <w:ind w:firstLine="420" w:firstLineChars="200"/>
    </w:pPr>
    <w:rPr>
      <w:rFonts w:ascii="Arial" w:hAnsi="Arial" w:cs="Arial"/>
      <w:szCs w:val="21"/>
    </w:rPr>
  </w:style>
  <w:style w:type="paragraph" w:customStyle="1" w:styleId="183">
    <w:name w:val="纯文本2"/>
    <w:basedOn w:val="1"/>
    <w:qFormat/>
    <w:uiPriority w:val="0"/>
    <w:rPr>
      <w:rFonts w:ascii="宋体" w:hAnsi="Courier New" w:eastAsia="方正小标宋_GBK"/>
      <w:b/>
      <w:szCs w:val="20"/>
    </w:rPr>
  </w:style>
  <w:style w:type="paragraph" w:customStyle="1" w:styleId="184">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5">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6">
    <w:name w:val="纯文本 Char1"/>
    <w:qFormat/>
    <w:uiPriority w:val="0"/>
    <w:rPr>
      <w:rFonts w:hint="eastAsia" w:ascii="宋体" w:hAnsi="Courier New" w:eastAsia="宋体"/>
      <w:sz w:val="21"/>
    </w:rPr>
  </w:style>
  <w:style w:type="character" w:customStyle="1" w:styleId="187">
    <w:name w:val="访问过的超链接1"/>
    <w:qFormat/>
    <w:uiPriority w:val="0"/>
    <w:rPr>
      <w:color w:val="800080"/>
      <w:u w:val="single"/>
    </w:rPr>
  </w:style>
  <w:style w:type="character" w:customStyle="1" w:styleId="188">
    <w:name w:val="正文文本缩进 3 Char1"/>
    <w:qFormat/>
    <w:uiPriority w:val="0"/>
    <w:rPr>
      <w:rFonts w:hint="eastAsia" w:ascii="宋体" w:hAnsi="宋体" w:eastAsia="宋体" w:cs="Times New Roman"/>
      <w:sz w:val="16"/>
      <w:szCs w:val="16"/>
    </w:rPr>
  </w:style>
  <w:style w:type="character" w:customStyle="1" w:styleId="189">
    <w:name w:val="文档结构图 Char1"/>
    <w:qFormat/>
    <w:uiPriority w:val="0"/>
    <w:rPr>
      <w:rFonts w:hint="eastAsia" w:ascii="宋体" w:hAnsi="宋体" w:eastAsia="宋体" w:cs="Times New Roman"/>
      <w:sz w:val="18"/>
      <w:szCs w:val="18"/>
    </w:rPr>
  </w:style>
  <w:style w:type="character" w:customStyle="1" w:styleId="190">
    <w:name w:val="A0"/>
    <w:qFormat/>
    <w:uiPriority w:val="0"/>
    <w:rPr>
      <w:rFonts w:cs=".."/>
      <w:color w:val="000000"/>
      <w:sz w:val="22"/>
      <w:szCs w:val="22"/>
    </w:rPr>
  </w:style>
  <w:style w:type="character" w:customStyle="1" w:styleId="191">
    <w:name w:val="标题 Char1"/>
    <w:qFormat/>
    <w:uiPriority w:val="0"/>
    <w:rPr>
      <w:rFonts w:ascii="Calibri Light" w:hAnsi="Calibri Light" w:cs="Times New Roman"/>
      <w:b/>
      <w:bCs/>
      <w:kern w:val="2"/>
      <w:sz w:val="32"/>
      <w:szCs w:val="32"/>
    </w:rPr>
  </w:style>
  <w:style w:type="character" w:customStyle="1" w:styleId="192">
    <w:name w:val="Footer Char"/>
    <w:qFormat/>
    <w:uiPriority w:val="0"/>
    <w:rPr>
      <w:sz w:val="18"/>
    </w:rPr>
  </w:style>
  <w:style w:type="character" w:customStyle="1" w:styleId="193">
    <w:name w:val="正文文本缩进 2 Char1"/>
    <w:qFormat/>
    <w:uiPriority w:val="0"/>
    <w:rPr>
      <w:rFonts w:hint="eastAsia" w:ascii="宋体" w:hAnsi="宋体" w:eastAsia="宋体"/>
      <w:kern w:val="2"/>
      <w:sz w:val="21"/>
      <w:szCs w:val="22"/>
    </w:rPr>
  </w:style>
  <w:style w:type="character" w:customStyle="1" w:styleId="194">
    <w:name w:val="日期 Char1"/>
    <w:qFormat/>
    <w:uiPriority w:val="0"/>
    <w:rPr>
      <w:rFonts w:hint="eastAsia" w:ascii="宋体" w:hAnsi="宋体" w:eastAsia="宋体" w:cs="Times New Roman"/>
    </w:rPr>
  </w:style>
  <w:style w:type="character" w:customStyle="1" w:styleId="195">
    <w:name w:val="font01"/>
    <w:qFormat/>
    <w:uiPriority w:val="0"/>
    <w:rPr>
      <w:rFonts w:hint="eastAsia" w:ascii="宋体" w:hAnsi="宋体" w:eastAsia="宋体"/>
      <w:color w:val="000000"/>
      <w:sz w:val="24"/>
      <w:szCs w:val="24"/>
      <w:u w:val="none"/>
    </w:rPr>
  </w:style>
  <w:style w:type="character" w:customStyle="1" w:styleId="196">
    <w:name w:val="页眉 Char1"/>
    <w:qFormat/>
    <w:uiPriority w:val="0"/>
    <w:rPr>
      <w:rFonts w:hint="eastAsia" w:ascii="宋体" w:hAnsi="宋体" w:eastAsia="宋体" w:cs="Times New Roman"/>
      <w:sz w:val="18"/>
      <w:szCs w:val="18"/>
    </w:rPr>
  </w:style>
  <w:style w:type="character" w:customStyle="1" w:styleId="197">
    <w:name w:val="表格题注 Char Char"/>
    <w:qFormat/>
    <w:uiPriority w:val="0"/>
    <w:rPr>
      <w:rFonts w:hint="default" w:ascii="Arial" w:hAnsi="Arial" w:cs="Times New Roman"/>
      <w:b/>
      <w:bCs/>
      <w:szCs w:val="32"/>
    </w:rPr>
  </w:style>
  <w:style w:type="character" w:customStyle="1" w:styleId="198">
    <w:name w:val="Body Text Indent Char"/>
    <w:qFormat/>
    <w:uiPriority w:val="0"/>
    <w:rPr>
      <w:rFonts w:ascii="宋体"/>
      <w:sz w:val="24"/>
    </w:rPr>
  </w:style>
  <w:style w:type="character" w:customStyle="1" w:styleId="199">
    <w:name w:val="发布"/>
    <w:qFormat/>
    <w:uiPriority w:val="0"/>
    <w:rPr>
      <w:rFonts w:ascii="黑体" w:eastAsia="黑体"/>
      <w:spacing w:val="22"/>
      <w:w w:val="100"/>
      <w:position w:val="3"/>
      <w:sz w:val="28"/>
    </w:rPr>
  </w:style>
  <w:style w:type="character" w:customStyle="1" w:styleId="200">
    <w:name w:val="纯文本 Char2"/>
    <w:qFormat/>
    <w:uiPriority w:val="0"/>
    <w:rPr>
      <w:rFonts w:ascii="宋体" w:hAnsi="Courier New" w:cs="Courier New"/>
      <w:kern w:val="2"/>
      <w:sz w:val="21"/>
      <w:szCs w:val="21"/>
    </w:rPr>
  </w:style>
  <w:style w:type="character" w:customStyle="1" w:styleId="201">
    <w:name w:val="页脚 Char1"/>
    <w:qFormat/>
    <w:uiPriority w:val="0"/>
    <w:rPr>
      <w:rFonts w:hint="eastAsia" w:ascii="宋体" w:hAnsi="宋体" w:eastAsia="宋体" w:cs="Times New Roman"/>
      <w:sz w:val="18"/>
      <w:szCs w:val="18"/>
    </w:rPr>
  </w:style>
  <w:style w:type="character" w:customStyle="1" w:styleId="202">
    <w:name w:val="正文文本缩进 Char1"/>
    <w:qFormat/>
    <w:uiPriority w:val="0"/>
    <w:rPr>
      <w:rFonts w:hint="eastAsia" w:ascii="宋体" w:hAnsi="宋体" w:eastAsia="宋体"/>
      <w:kern w:val="2"/>
      <w:sz w:val="21"/>
      <w:szCs w:val="22"/>
    </w:rPr>
  </w:style>
  <w:style w:type="character" w:customStyle="1" w:styleId="203">
    <w:name w:val="批注框文本 Char1"/>
    <w:qFormat/>
    <w:uiPriority w:val="0"/>
    <w:rPr>
      <w:rFonts w:hint="eastAsia" w:ascii="宋体" w:hAnsi="宋体" w:eastAsia="宋体" w:cs="Times New Roman"/>
      <w:sz w:val="18"/>
      <w:szCs w:val="18"/>
    </w:rPr>
  </w:style>
  <w:style w:type="character" w:customStyle="1" w:styleId="204">
    <w:name w:val="表格文字 Char Char"/>
    <w:qFormat/>
    <w:uiPriority w:val="0"/>
    <w:rPr>
      <w:rFonts w:hint="eastAsia" w:ascii="汉仪书宋二简" w:hAnsi="宋体" w:eastAsia="汉仪书宋二简" w:cs="Times New Roman"/>
      <w:sz w:val="18"/>
      <w:szCs w:val="18"/>
    </w:rPr>
  </w:style>
  <w:style w:type="character" w:customStyle="1" w:styleId="205">
    <w:name w:val="占位符文本1"/>
    <w:qFormat/>
    <w:uiPriority w:val="0"/>
    <w:rPr>
      <w:color w:val="808080"/>
    </w:rPr>
  </w:style>
  <w:style w:type="character" w:customStyle="1" w:styleId="206">
    <w:name w:val="ask-title"/>
    <w:qFormat/>
    <w:uiPriority w:val="0"/>
  </w:style>
  <w:style w:type="character" w:customStyle="1" w:styleId="207">
    <w:name w:val="批注框文本 Char Char Char Char"/>
    <w:qFormat/>
    <w:locked/>
    <w:uiPriority w:val="0"/>
    <w:rPr>
      <w:rFonts w:ascii="Arial" w:hAnsi="Arial" w:cs="Arial"/>
      <w:kern w:val="2"/>
      <w:sz w:val="18"/>
      <w:szCs w:val="18"/>
    </w:rPr>
  </w:style>
  <w:style w:type="character" w:customStyle="1" w:styleId="208">
    <w:name w:val="段 Char"/>
    <w:qFormat/>
    <w:locked/>
    <w:uiPriority w:val="0"/>
    <w:rPr>
      <w:rFonts w:ascii="宋体" w:hAnsi="宋体"/>
      <w:lang w:val="en-US" w:eastAsia="zh-CN" w:bidi="ar-SA"/>
    </w:rPr>
  </w:style>
  <w:style w:type="character" w:customStyle="1" w:styleId="209">
    <w:name w:val="表名 Char"/>
    <w:qFormat/>
    <w:uiPriority w:val="0"/>
    <w:rPr>
      <w:rFonts w:ascii="黑体" w:hAnsi="黑体" w:eastAsia="黑体"/>
      <w:b/>
      <w:kern w:val="2"/>
      <w:sz w:val="21"/>
      <w:szCs w:val="24"/>
    </w:rPr>
  </w:style>
  <w:style w:type="character" w:customStyle="1" w:styleId="210">
    <w:name w:val="段落 Char"/>
    <w:qFormat/>
    <w:uiPriority w:val="0"/>
    <w:rPr>
      <w:rFonts w:eastAsia="仿宋_GB2312"/>
      <w:sz w:val="28"/>
    </w:rPr>
  </w:style>
  <w:style w:type="character" w:customStyle="1" w:styleId="211">
    <w:name w:val="标题 1 Char1"/>
    <w:qFormat/>
    <w:uiPriority w:val="0"/>
    <w:rPr>
      <w:b/>
      <w:bCs/>
      <w:kern w:val="44"/>
      <w:sz w:val="44"/>
      <w:szCs w:val="44"/>
    </w:rPr>
  </w:style>
  <w:style w:type="character" w:customStyle="1" w:styleId="212">
    <w:name w:val="批注框文本 Char2"/>
    <w:qFormat/>
    <w:locked/>
    <w:uiPriority w:val="99"/>
    <w:rPr>
      <w:rFonts w:ascii="Arial" w:hAnsi="Arial" w:cs="Arial"/>
      <w:kern w:val="2"/>
      <w:sz w:val="18"/>
      <w:szCs w:val="18"/>
    </w:rPr>
  </w:style>
  <w:style w:type="character" w:customStyle="1" w:styleId="213">
    <w:name w:val="标题 Char2"/>
    <w:qFormat/>
    <w:locked/>
    <w:uiPriority w:val="10"/>
    <w:rPr>
      <w:rFonts w:ascii="宋体" w:hAnsi="宋体" w:eastAsia="宋体" w:cs="Times New Roman"/>
      <w:bCs/>
      <w:kern w:val="0"/>
      <w:szCs w:val="32"/>
    </w:rPr>
  </w:style>
  <w:style w:type="character" w:customStyle="1" w:styleId="214">
    <w:name w:val="Char Char6"/>
    <w:qFormat/>
    <w:uiPriority w:val="0"/>
    <w:rPr>
      <w:rFonts w:ascii="Arial" w:hAnsi="Arial"/>
      <w:kern w:val="2"/>
      <w:sz w:val="18"/>
    </w:rPr>
  </w:style>
  <w:style w:type="character" w:customStyle="1" w:styleId="215">
    <w:name w:val="font21"/>
    <w:qFormat/>
    <w:uiPriority w:val="0"/>
    <w:rPr>
      <w:rFonts w:hint="default" w:ascii="Times New Roman" w:hAnsi="Times New Roman" w:cs="Times New Roman"/>
      <w:b/>
      <w:bCs/>
      <w:color w:val="000000"/>
      <w:sz w:val="18"/>
      <w:szCs w:val="18"/>
      <w:u w:val="none"/>
    </w:rPr>
  </w:style>
  <w:style w:type="character" w:customStyle="1" w:styleId="216">
    <w:name w:val="font31"/>
    <w:qFormat/>
    <w:uiPriority w:val="0"/>
    <w:rPr>
      <w:rFonts w:hint="default" w:ascii="Times New Roman" w:hAnsi="Times New Roman" w:cs="Times New Roman"/>
      <w:color w:val="000000"/>
      <w:sz w:val="18"/>
      <w:szCs w:val="18"/>
      <w:u w:val="none"/>
    </w:rPr>
  </w:style>
  <w:style w:type="character" w:customStyle="1" w:styleId="217">
    <w:name w:val="font41"/>
    <w:qFormat/>
    <w:uiPriority w:val="0"/>
    <w:rPr>
      <w:rFonts w:hint="eastAsia" w:ascii="宋体" w:hAnsi="宋体" w:eastAsia="宋体"/>
      <w:color w:val="000000"/>
      <w:sz w:val="18"/>
      <w:szCs w:val="18"/>
      <w:u w:val="none"/>
    </w:rPr>
  </w:style>
  <w:style w:type="character" w:customStyle="1" w:styleId="218">
    <w:name w:val="Char Char61"/>
    <w:unhideWhenUsed/>
    <w:qFormat/>
    <w:uiPriority w:val="0"/>
    <w:rPr>
      <w:rFonts w:hint="default" w:ascii="Arial"/>
      <w:kern w:val="2"/>
      <w:sz w:val="18"/>
    </w:rPr>
  </w:style>
  <w:style w:type="character" w:customStyle="1" w:styleId="219">
    <w:name w:val="标题 1 Char2"/>
    <w:qFormat/>
    <w:locked/>
    <w:uiPriority w:val="0"/>
    <w:rPr>
      <w:rFonts w:ascii="宋体" w:hAnsi="宋体"/>
      <w:b/>
      <w:bCs/>
      <w:kern w:val="44"/>
      <w:sz w:val="32"/>
      <w:szCs w:val="44"/>
    </w:rPr>
  </w:style>
  <w:style w:type="paragraph" w:customStyle="1" w:styleId="220">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1">
    <w:name w:val="标题 Char21"/>
    <w:qFormat/>
    <w:uiPriority w:val="0"/>
    <w:rPr>
      <w:rFonts w:ascii="Calibri Light"/>
      <w:b/>
      <w:kern w:val="2"/>
      <w:sz w:val="32"/>
    </w:rPr>
  </w:style>
  <w:style w:type="paragraph" w:customStyle="1" w:styleId="222">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3">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4">
    <w:name w:val="标题 3 Char1"/>
    <w:basedOn w:val="39"/>
    <w:semiHidden/>
    <w:qFormat/>
    <w:uiPriority w:val="9"/>
    <w:rPr>
      <w:rFonts w:hint="eastAsia" w:ascii="宋体" w:hAnsi="宋体" w:eastAsia="宋体" w:cs="Times New Roman"/>
      <w:b/>
      <w:bCs/>
      <w:kern w:val="2"/>
      <w:sz w:val="32"/>
      <w:szCs w:val="32"/>
    </w:rPr>
  </w:style>
  <w:style w:type="character" w:customStyle="1" w:styleId="225">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6">
    <w:name w:val="标题 5 Char1"/>
    <w:basedOn w:val="39"/>
    <w:semiHidden/>
    <w:qFormat/>
    <w:uiPriority w:val="0"/>
    <w:rPr>
      <w:rFonts w:hint="eastAsia" w:ascii="宋体" w:hAnsi="宋体" w:eastAsia="宋体" w:cs="Times New Roman"/>
      <w:b/>
      <w:bCs/>
      <w:kern w:val="2"/>
      <w:sz w:val="28"/>
      <w:szCs w:val="28"/>
    </w:rPr>
  </w:style>
  <w:style w:type="character" w:customStyle="1" w:styleId="227">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8">
    <w:name w:val="标题 7 Char1"/>
    <w:basedOn w:val="39"/>
    <w:semiHidden/>
    <w:qFormat/>
    <w:uiPriority w:val="0"/>
    <w:rPr>
      <w:rFonts w:hint="eastAsia" w:ascii="宋体" w:hAnsi="宋体" w:eastAsia="宋体" w:cs="Times New Roman"/>
      <w:b/>
      <w:bCs/>
      <w:kern w:val="2"/>
      <w:sz w:val="24"/>
      <w:szCs w:val="24"/>
    </w:rPr>
  </w:style>
  <w:style w:type="character" w:customStyle="1" w:styleId="229">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0">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1">
    <w:name w:val="样式1 Char Char"/>
    <w:link w:val="60"/>
    <w:qFormat/>
    <w:locked/>
    <w:uiPriority w:val="0"/>
    <w:rPr>
      <w:rFonts w:ascii="EU-F1" w:hAnsi="Times New Roman" w:eastAsia="黑体" w:cs="Times New Roman"/>
      <w:szCs w:val="21"/>
    </w:rPr>
  </w:style>
  <w:style w:type="character" w:customStyle="1" w:styleId="232">
    <w:name w:val="一级条标题 Char Char"/>
    <w:link w:val="140"/>
    <w:qFormat/>
    <w:locked/>
    <w:uiPriority w:val="0"/>
    <w:rPr>
      <w:rFonts w:ascii="黑体" w:hAnsi="Times New Roman" w:eastAsia="黑体" w:cs="Times New Roman"/>
      <w:kern w:val="0"/>
      <w:szCs w:val="21"/>
    </w:rPr>
  </w:style>
  <w:style w:type="paragraph" w:customStyle="1" w:styleId="233">
    <w:name w:val="表头A"/>
    <w:basedOn w:val="61"/>
    <w:qFormat/>
    <w:uiPriority w:val="0"/>
    <w:rPr>
      <w:kern w:val="21"/>
      <w:sz w:val="20"/>
    </w:rPr>
  </w:style>
  <w:style w:type="paragraph" w:customStyle="1" w:styleId="234">
    <w:name w:val="二级条标题"/>
    <w:basedOn w:val="140"/>
    <w:next w:val="131"/>
    <w:qFormat/>
    <w:uiPriority w:val="0"/>
    <w:pPr>
      <w:tabs>
        <w:tab w:val="clear" w:pos="0"/>
      </w:tabs>
      <w:spacing w:beforeLines="0" w:afterLines="0"/>
      <w:ind w:left="1260" w:hanging="420"/>
      <w:outlineLvl w:val="3"/>
    </w:pPr>
    <w:rPr>
      <w:rFonts w:hint="eastAsia"/>
    </w:rPr>
  </w:style>
  <w:style w:type="paragraph" w:customStyle="1" w:styleId="235">
    <w:name w:val="章标题"/>
    <w:next w:val="131"/>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6">
    <w:name w:val="三级条标题"/>
    <w:basedOn w:val="234"/>
    <w:next w:val="131"/>
    <w:qFormat/>
    <w:uiPriority w:val="0"/>
    <w:pPr>
      <w:ind w:left="1680"/>
      <w:outlineLvl w:val="4"/>
    </w:pPr>
  </w:style>
  <w:style w:type="paragraph" w:customStyle="1" w:styleId="237">
    <w:name w:val="列表段落1"/>
    <w:basedOn w:val="1"/>
    <w:qFormat/>
    <w:uiPriority w:val="34"/>
    <w:pPr>
      <w:ind w:firstLine="420" w:firstLineChars="200"/>
    </w:pPr>
  </w:style>
  <w:style w:type="paragraph" w:customStyle="1" w:styleId="238">
    <w:name w:val="列出段落3"/>
    <w:basedOn w:val="1"/>
    <w:qFormat/>
    <w:uiPriority w:val="34"/>
    <w:pPr>
      <w:ind w:firstLine="420" w:firstLineChars="200"/>
    </w:pPr>
  </w:style>
  <w:style w:type="table" w:customStyle="1" w:styleId="239">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240">
    <w:name w:val="Table Text"/>
    <w:basedOn w:val="1"/>
    <w:semiHidden/>
    <w:qFormat/>
    <w:uiPriority w:val="0"/>
    <w:pPr>
      <w:widowControl/>
      <w:kinsoku w:val="0"/>
      <w:autoSpaceDE w:val="0"/>
      <w:autoSpaceDN w:val="0"/>
      <w:adjustRightInd w:val="0"/>
      <w:snapToGrid w:val="0"/>
      <w:jc w:val="left"/>
      <w:textAlignment w:val="baseline"/>
    </w:pPr>
    <w:rPr>
      <w:rFonts w:eastAsia="Times New Roman"/>
      <w:snapToGrid w:val="0"/>
      <w:color w:val="000000"/>
      <w:kern w:val="0"/>
      <w:sz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9BCC0-F873-4E95-80D9-AEC1D3D66415}">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9</Pages>
  <Words>4178</Words>
  <Characters>4822</Characters>
  <Lines>41</Lines>
  <Paragraphs>11</Paragraphs>
  <TotalTime>3</TotalTime>
  <ScaleCrop>false</ScaleCrop>
  <LinksUpToDate>false</LinksUpToDate>
  <CharactersWithSpaces>5094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2025-03-19T07:33:35Z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7C0900F6F4DE4FDE9053C27B47FDBB27_13</vt:lpwstr>
  </property>
  <property fmtid="{D5CDD505-2E9C-101B-9397-08002B2CF9AE}" pid="4" name="KSOTemplateDocerSaveRecord">
    <vt:lpwstr>eyJoZGlkIjoiMzEwNTM5NzYwMDRjMzkwZTVkZjY2ODkwMGIxNGU0OTUiLCJ1c2VySWQiOiIyMjkxODkxMDUifQ==</vt:lpwstr>
  </property>
</Properties>
</file>