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408C0BDE">
      <w:pPr>
        <w:spacing w:line="360" w:lineRule="auto"/>
        <w:ind w:firstLine="261" w:firstLineChars="50"/>
        <w:jc w:val="center"/>
        <w:rPr>
          <w:rFonts w:ascii="宋体"/>
          <w:b/>
          <w:sz w:val="52"/>
        </w:rPr>
      </w:pPr>
      <w:r>
        <w:rPr>
          <w:rFonts w:hint="eastAsia" w:ascii="宋体" w:hAnsi="宋体"/>
          <w:b/>
          <w:sz w:val="52"/>
        </w:rPr>
        <w:t>变压器用绕组线集中招标采购</w:t>
      </w:r>
    </w:p>
    <w:p w14:paraId="24232C16">
      <w:pPr>
        <w:spacing w:line="360" w:lineRule="auto"/>
        <w:jc w:val="center"/>
        <w:rPr>
          <w:rFonts w:hint="eastAsia" w:ascii="宋体" w:hAnsi="宋体"/>
          <w:b/>
          <w:sz w:val="48"/>
          <w:szCs w:val="48"/>
          <w:u w:val="single"/>
        </w:rPr>
      </w:pPr>
    </w:p>
    <w:p w14:paraId="3517EFCE">
      <w:pPr>
        <w:spacing w:line="360" w:lineRule="auto"/>
        <w:jc w:val="center"/>
        <w:rPr>
          <w:rFonts w:ascii="宋体"/>
          <w:b/>
          <w:sz w:val="48"/>
          <w:szCs w:val="48"/>
        </w:rPr>
      </w:pPr>
    </w:p>
    <w:p w14:paraId="613F0965">
      <w:pPr>
        <w:spacing w:line="360" w:lineRule="auto"/>
        <w:jc w:val="center"/>
        <w:rPr>
          <w:rFonts w:hint="eastAsia" w:ascii="宋体" w:hAnsi="宋体"/>
          <w:b/>
          <w:sz w:val="48"/>
          <w:szCs w:val="48"/>
        </w:rPr>
      </w:pPr>
      <w:r>
        <w:rPr>
          <w:rFonts w:hint="eastAsia" w:ascii="宋体" w:hAnsi="宋体"/>
          <w:b/>
          <w:sz w:val="48"/>
          <w:szCs w:val="48"/>
        </w:rPr>
        <w:t>漆包圆绕组线</w:t>
      </w:r>
    </w:p>
    <w:p w14:paraId="648381A1">
      <w:pPr>
        <w:spacing w:line="360" w:lineRule="auto"/>
        <w:jc w:val="center"/>
        <w:rPr>
          <w:rFonts w:hint="eastAsia" w:ascii="宋体" w:hAnsi="宋体"/>
          <w:b/>
          <w:sz w:val="48"/>
          <w:szCs w:val="48"/>
        </w:rPr>
      </w:pPr>
    </w:p>
    <w:p w14:paraId="7CD80079">
      <w:pPr>
        <w:spacing w:line="360" w:lineRule="auto"/>
        <w:jc w:val="center"/>
        <w:rPr>
          <w:rFonts w:ascii="宋体"/>
          <w:b/>
          <w:sz w:val="48"/>
          <w:szCs w:val="48"/>
        </w:rPr>
      </w:pPr>
      <w:r>
        <w:rPr>
          <w:rFonts w:hint="eastAsia" w:ascii="宋体"/>
          <w:b/>
          <w:sz w:val="48"/>
          <w:szCs w:val="48"/>
        </w:rPr>
        <w:t>技</w:t>
      </w:r>
    </w:p>
    <w:p w14:paraId="506B0B10">
      <w:pPr>
        <w:spacing w:line="360" w:lineRule="auto"/>
        <w:jc w:val="center"/>
        <w:rPr>
          <w:rFonts w:ascii="宋体"/>
          <w:b/>
          <w:sz w:val="48"/>
          <w:szCs w:val="48"/>
        </w:rPr>
      </w:pPr>
      <w:r>
        <w:rPr>
          <w:rFonts w:hint="eastAsia" w:ascii="宋体"/>
          <w:b/>
          <w:sz w:val="48"/>
          <w:szCs w:val="48"/>
        </w:rPr>
        <w:t>术</w:t>
      </w:r>
    </w:p>
    <w:p w14:paraId="1AED3D38">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1E98E8B4">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16960900">
      <w:pPr>
        <w:spacing w:line="360" w:lineRule="auto"/>
        <w:jc w:val="center"/>
        <w:rPr>
          <w:rFonts w:ascii="宋体"/>
          <w:b/>
          <w:sz w:val="48"/>
          <w:szCs w:val="48"/>
        </w:rPr>
      </w:pPr>
      <w:r>
        <w:rPr>
          <w:rFonts w:hint="eastAsia" w:ascii="宋体"/>
          <w:b/>
          <w:sz w:val="48"/>
          <w:szCs w:val="48"/>
          <w:lang w:val="en-US" w:eastAsia="zh-CN"/>
        </w:rPr>
        <w:t>书</w:t>
      </w:r>
    </w:p>
    <w:p w14:paraId="5357FB4F">
      <w:pPr>
        <w:jc w:val="center"/>
        <w:rPr>
          <w:rFonts w:hint="eastAsia" w:ascii="宋体" w:hAnsi="宋体"/>
          <w:b/>
          <w:sz w:val="48"/>
          <w:szCs w:val="48"/>
        </w:rPr>
      </w:pPr>
    </w:p>
    <w:p w14:paraId="7D2FD3DC">
      <w:pPr>
        <w:jc w:val="center"/>
        <w:rPr>
          <w:rFonts w:hint="eastAsia" w:ascii="宋体" w:hAnsi="宋体" w:cs="宋体"/>
          <w:sz w:val="22"/>
          <w:szCs w:val="22"/>
        </w:rPr>
      </w:pPr>
    </w:p>
    <w:p w14:paraId="1EB53D2F">
      <w:pPr>
        <w:spacing w:line="360" w:lineRule="auto"/>
        <w:jc w:val="center"/>
        <w:rPr>
          <w:rFonts w:ascii="方正小标宋简体" w:eastAsia="方正小标宋简体"/>
          <w:sz w:val="72"/>
          <w:szCs w:val="72"/>
        </w:rPr>
      </w:pPr>
    </w:p>
    <w:p w14:paraId="15F8BE2A">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1D5C6152">
      <w:pPr>
        <w:pStyle w:val="55"/>
        <w:spacing w:before="560" w:after="560" w:line="240" w:lineRule="auto"/>
        <w:rPr>
          <w:rFonts w:hint="eastAsia"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2025年3月</w:t>
      </w:r>
    </w:p>
    <w:p w14:paraId="65DDBE4C">
      <w:pPr>
        <w:pStyle w:val="222"/>
        <w:jc w:val="center"/>
        <w:rPr>
          <w:rFonts w:hint="eastAsia"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2679BEDB">
          <w:pPr>
            <w:widowControl/>
            <w:jc w:val="center"/>
          </w:pPr>
        </w:p>
        <w:p w14:paraId="2AD267E0">
          <w:pPr>
            <w:pStyle w:val="28"/>
            <w:tabs>
              <w:tab w:val="right" w:leader="dot" w:pos="8296"/>
            </w:tabs>
            <w:ind w:firstLine="420"/>
            <w:rPr>
              <w:rFonts w:asciiTheme="minorHAnsi" w:hAnsiTheme="minorHAnsi" w:eastAsiaTheme="minorEastAsia" w:cstheme="minorBidi"/>
              <w:b w:val="0"/>
              <w:bCs w:val="0"/>
              <w:caps w:val="0"/>
              <w:sz w:val="21"/>
              <w:szCs w:val="22"/>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"_Toc438720041" </w:instrText>
          </w:r>
          <w:r>
            <w:fldChar w:fldCharType="separate"/>
          </w:r>
          <w:r>
            <w:rPr>
              <w:rStyle w:val="43"/>
            </w:rPr>
            <w:t>1</w:t>
          </w:r>
          <w:r>
            <w:rPr>
              <w:rStyle w:val="43"/>
              <w:rFonts w:hint="eastAsia"/>
            </w:rPr>
            <w:t>　范围</w:t>
          </w:r>
          <w:r>
            <w:tab/>
          </w:r>
          <w:r>
            <w:fldChar w:fldCharType="begin"/>
          </w:r>
          <w:r>
            <w:instrText xml:space="preserve"> PAGEREF _Toc438720041 \h </w:instrText>
          </w:r>
          <w:r>
            <w:fldChar w:fldCharType="separate"/>
          </w:r>
          <w:r>
            <w:t>3</w:t>
          </w:r>
          <w:r>
            <w:fldChar w:fldCharType="end"/>
          </w:r>
          <w:r>
            <w:fldChar w:fldCharType="end"/>
          </w:r>
        </w:p>
        <w:p w14:paraId="69183C54">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"_Toc438720042" </w:instrText>
          </w:r>
          <w:r>
            <w:fldChar w:fldCharType="separate"/>
          </w:r>
          <w:r>
            <w:rPr>
              <w:rStyle w:val="43"/>
            </w:rPr>
            <w:t>2</w:t>
          </w:r>
          <w:r>
            <w:rPr>
              <w:rStyle w:val="43"/>
              <w:rFonts w:hint="eastAsia"/>
            </w:rPr>
            <w:t>　规范性引用文件</w:t>
          </w:r>
          <w:r>
            <w:tab/>
          </w:r>
          <w:r>
            <w:fldChar w:fldCharType="begin"/>
          </w:r>
          <w:r>
            <w:instrText xml:space="preserve"> PAGEREF _Toc438720042 \h </w:instrText>
          </w:r>
          <w:r>
            <w:fldChar w:fldCharType="separate"/>
          </w:r>
          <w:r>
            <w:t>3</w:t>
          </w:r>
          <w:r>
            <w:fldChar w:fldCharType="end"/>
          </w:r>
          <w:r>
            <w:fldChar w:fldCharType="end"/>
          </w:r>
        </w:p>
        <w:p w14:paraId="1278ED38">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"_Toc438720043" </w:instrText>
          </w:r>
          <w:r>
            <w:fldChar w:fldCharType="separate"/>
          </w:r>
          <w:r>
            <w:rPr>
              <w:rStyle w:val="43"/>
            </w:rPr>
            <w:t>3</w:t>
          </w:r>
          <w:r>
            <w:rPr>
              <w:rStyle w:val="43"/>
              <w:rFonts w:hint="eastAsia"/>
            </w:rPr>
            <w:t>　术语和定义</w:t>
          </w:r>
          <w:r>
            <w:tab/>
          </w:r>
          <w:r>
            <w:fldChar w:fldCharType="begin"/>
          </w:r>
          <w:r>
            <w:instrText xml:space="preserve"> PAGEREF _Toc438720043 \h </w:instrText>
          </w:r>
          <w:r>
            <w:fldChar w:fldCharType="separate"/>
          </w:r>
          <w:r>
            <w:t>3</w:t>
          </w:r>
          <w:r>
            <w:fldChar w:fldCharType="end"/>
          </w:r>
          <w:r>
            <w:fldChar w:fldCharType="end"/>
          </w:r>
        </w:p>
        <w:p w14:paraId="49664CD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"_Toc438720044" </w:instrText>
          </w:r>
          <w:r>
            <w:fldChar w:fldCharType="separate"/>
          </w:r>
          <w:r>
            <w:rPr>
              <w:rStyle w:val="43"/>
            </w:rPr>
            <w:t>4</w:t>
          </w:r>
          <w:r>
            <w:rPr>
              <w:rStyle w:val="43"/>
              <w:rFonts w:hint="eastAsia"/>
            </w:rPr>
            <w:t>　总则</w:t>
          </w:r>
          <w:r>
            <w:tab/>
          </w:r>
          <w:r>
            <w:fldChar w:fldCharType="begin"/>
          </w:r>
          <w:r>
            <w:instrText xml:space="preserve"> PAGEREF _Toc438720044 \h </w:instrText>
          </w:r>
          <w:r>
            <w:fldChar w:fldCharType="separate"/>
          </w:r>
          <w:r>
            <w:t>3</w:t>
          </w:r>
          <w:r>
            <w:fldChar w:fldCharType="end"/>
          </w:r>
          <w:r>
            <w:fldChar w:fldCharType="end"/>
          </w:r>
        </w:p>
        <w:p w14:paraId="5AACF2D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"_Toc438720045" </w:instrText>
          </w:r>
          <w:r>
            <w:fldChar w:fldCharType="separate"/>
          </w:r>
          <w:r>
            <w:rPr>
              <w:rStyle w:val="43"/>
            </w:rPr>
            <w:t>5</w:t>
          </w:r>
          <w:r>
            <w:rPr>
              <w:rStyle w:val="43"/>
              <w:rFonts w:hint="eastAsia"/>
            </w:rPr>
            <w:t>　技术参数和性能要求</w:t>
          </w:r>
          <w:r>
            <w:tab/>
          </w:r>
          <w:r>
            <w:fldChar w:fldCharType="begin"/>
          </w:r>
          <w:r>
            <w:instrText xml:space="preserve"> PAGEREF _Toc438720045 \h </w:instrText>
          </w:r>
          <w:r>
            <w:fldChar w:fldCharType="separate"/>
          </w:r>
          <w:r>
            <w:t>4</w:t>
          </w:r>
          <w:r>
            <w:fldChar w:fldCharType="end"/>
          </w:r>
          <w:r>
            <w:fldChar w:fldCharType="end"/>
          </w:r>
        </w:p>
        <w:p w14:paraId="43D6370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"_Toc438720046" </w:instrText>
          </w:r>
          <w:r>
            <w:fldChar w:fldCharType="separate"/>
          </w:r>
          <w:r>
            <w:rPr>
              <w:rStyle w:val="43"/>
            </w:rPr>
            <w:t>6</w:t>
          </w:r>
          <w:r>
            <w:rPr>
              <w:rStyle w:val="43"/>
              <w:rFonts w:hint="eastAsia"/>
            </w:rPr>
            <w:t>　试验</w:t>
          </w:r>
          <w:r>
            <w:tab/>
          </w:r>
          <w:r>
            <w:fldChar w:fldCharType="begin"/>
          </w:r>
          <w:r>
            <w:instrText xml:space="preserve"> PAGEREF _Toc438720046 \h </w:instrText>
          </w:r>
          <w:r>
            <w:fldChar w:fldCharType="separate"/>
          </w:r>
          <w:r>
            <w:t>6</w:t>
          </w:r>
          <w:r>
            <w:fldChar w:fldCharType="end"/>
          </w:r>
          <w:r>
            <w:fldChar w:fldCharType="end"/>
          </w:r>
        </w:p>
        <w:p w14:paraId="2B32205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"_Toc438720047" </w:instrText>
          </w:r>
          <w:r>
            <w:fldChar w:fldCharType="separate"/>
          </w:r>
          <w:r>
            <w:rPr>
              <w:rStyle w:val="43"/>
            </w:rPr>
            <w:t>7</w:t>
          </w:r>
          <w:r>
            <w:rPr>
              <w:rStyle w:val="43"/>
              <w:rFonts w:hint="eastAsia"/>
            </w:rPr>
            <w:t>　技术服务、工厂检验</w:t>
          </w:r>
          <w:r>
            <w:tab/>
          </w:r>
          <w:r>
            <w:fldChar w:fldCharType="begin"/>
          </w:r>
          <w:r>
            <w:instrText xml:space="preserve"> PAGEREF _Toc438720047 \h </w:instrText>
          </w:r>
          <w:r>
            <w:fldChar w:fldCharType="separate"/>
          </w:r>
          <w:r>
            <w:t>6</w:t>
          </w:r>
          <w:r>
            <w:fldChar w:fldCharType="end"/>
          </w:r>
          <w:r>
            <w:fldChar w:fldCharType="end"/>
          </w:r>
        </w:p>
        <w:p w14:paraId="15DE5D37">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"_Toc438720048" </w:instrText>
          </w:r>
          <w:r>
            <w:fldChar w:fldCharType="separate"/>
          </w:r>
          <w:r>
            <w:rPr>
              <w:rStyle w:val="43"/>
            </w:rPr>
            <w:t>8</w:t>
          </w:r>
          <w:r>
            <w:rPr>
              <w:rStyle w:val="43"/>
              <w:rFonts w:hint="eastAsia"/>
            </w:rPr>
            <w:t>　报价表</w:t>
          </w:r>
          <w:r>
            <w:tab/>
          </w:r>
          <w:r>
            <w:fldChar w:fldCharType="begin"/>
          </w:r>
          <w:r>
            <w:instrText xml:space="preserve"> PAGEREF _Toc438720048 \h </w:instrText>
          </w:r>
          <w:r>
            <w:fldChar w:fldCharType="separate"/>
          </w:r>
          <w:r>
            <w:t>7</w:t>
          </w:r>
          <w:r>
            <w:fldChar w:fldCharType="end"/>
          </w:r>
          <w:r>
            <w:fldChar w:fldCharType="end"/>
          </w:r>
        </w:p>
        <w:p w14:paraId="592D2A45">
          <w:pPr>
            <w:adjustRightInd w:val="0"/>
            <w:snapToGrid w:val="0"/>
          </w:pPr>
          <w:r>
            <w:rPr>
              <w:szCs w:val="21"/>
            </w:rPr>
            <w:fldChar w:fldCharType="end"/>
          </w:r>
        </w:p>
      </w:sdtContent>
    </w:sdt>
    <w:p w14:paraId="3C5FBC2B">
      <w:pPr>
        <w:widowControl/>
        <w:jc w:val="center"/>
        <w:rPr>
          <w:rFonts w:hint="eastAsia" w:asciiTheme="minorEastAsia" w:hAnsiTheme="minorEastAsia" w:eastAsiaTheme="minorEastAsia"/>
          <w:b/>
          <w:sz w:val="36"/>
          <w:szCs w:val="36"/>
        </w:rPr>
      </w:pPr>
    </w:p>
    <w:p w14:paraId="345CAC76">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5B73628D">
      <w:pPr>
        <w:pStyle w:val="60"/>
        <w:outlineLvl w:val="0"/>
      </w:pPr>
      <w:bookmarkStart w:id="0" w:name="_Toc355884468"/>
      <w:bookmarkStart w:id="1" w:name="_Toc396866892"/>
      <w:bookmarkStart w:id="2" w:name="_Toc344384427"/>
      <w:bookmarkStart w:id="3" w:name="_Toc438720041"/>
      <w:r>
        <w:rPr>
          <w:rFonts w:hint="eastAsia"/>
        </w:rPr>
        <w:t>1　范围</w:t>
      </w:r>
      <w:bookmarkEnd w:id="0"/>
      <w:bookmarkEnd w:id="1"/>
      <w:bookmarkEnd w:id="2"/>
      <w:bookmarkEnd w:id="3"/>
    </w:p>
    <w:p w14:paraId="532B684F">
      <w:pPr>
        <w:topLinePunct/>
        <w:spacing w:line="326" w:lineRule="exact"/>
        <w:ind w:firstLine="420"/>
        <w:rPr>
          <w:snapToGrid w:val="0"/>
          <w:szCs w:val="21"/>
        </w:rPr>
      </w:pPr>
      <w:r>
        <w:rPr>
          <w:rFonts w:hint="eastAsia"/>
          <w:snapToGrid w:val="0"/>
          <w:szCs w:val="21"/>
        </w:rPr>
        <w:t>本部分规定了</w:t>
      </w:r>
      <w:r>
        <w:rPr>
          <w:rFonts w:hint="eastAsia"/>
        </w:rPr>
        <w:t>变压器用漆包圆绕组线</w:t>
      </w:r>
      <w:r>
        <w:rPr>
          <w:rFonts w:hint="eastAsia"/>
          <w:snapToGrid w:val="0"/>
          <w:szCs w:val="21"/>
        </w:rPr>
        <w:t>的总则、技术参数和性能要求、试验、包装、运输、交货及工厂检验和监造的一般要求。</w:t>
      </w:r>
    </w:p>
    <w:p w14:paraId="03E183EF">
      <w:pPr>
        <w:topLinePunct/>
        <w:spacing w:line="326" w:lineRule="exact"/>
        <w:ind w:firstLine="420"/>
        <w:rPr>
          <w:snapToGrid w:val="0"/>
          <w:szCs w:val="21"/>
        </w:rPr>
      </w:pPr>
      <w:r>
        <w:rPr>
          <w:rFonts w:hint="eastAsia"/>
          <w:snapToGrid w:val="0"/>
          <w:szCs w:val="21"/>
        </w:rPr>
        <w:t>本部分适用于</w:t>
      </w:r>
      <w:r>
        <w:rPr>
          <w:rFonts w:hint="eastAsia"/>
        </w:rPr>
        <w:t>变压器用漆包圆绕组线</w:t>
      </w:r>
      <w:r>
        <w:rPr>
          <w:rFonts w:hint="eastAsia"/>
          <w:snapToGrid w:val="0"/>
          <w:szCs w:val="21"/>
        </w:rPr>
        <w:t>的招标。</w:t>
      </w:r>
    </w:p>
    <w:p w14:paraId="41C1DA2B">
      <w:pPr>
        <w:topLinePunct/>
        <w:spacing w:line="326" w:lineRule="exact"/>
        <w:ind w:firstLine="420"/>
        <w:rPr>
          <w:snapToGrid w:val="0"/>
          <w:szCs w:val="21"/>
        </w:rPr>
      </w:pPr>
      <w:r>
        <w:rPr>
          <w:snapToGrid w:val="0"/>
          <w:szCs w:val="21"/>
        </w:rPr>
        <w:t>本</w:t>
      </w:r>
      <w:r>
        <w:rPr>
          <w:rFonts w:hint="eastAsia"/>
          <w:snapToGrid w:val="0"/>
          <w:szCs w:val="21"/>
        </w:rPr>
        <w:t>部分</w:t>
      </w:r>
      <w:r>
        <w:rPr>
          <w:snapToGrid w:val="0"/>
          <w:szCs w:val="21"/>
        </w:rPr>
        <w:t>可作为我公司向供应商订货的技术依据，亦可作为技术协议使用。</w:t>
      </w:r>
    </w:p>
    <w:p w14:paraId="6054CF6B">
      <w:pPr>
        <w:topLinePunct/>
        <w:spacing w:line="326" w:lineRule="exact"/>
        <w:ind w:firstLine="420"/>
        <w:rPr>
          <w:snapToGrid w:val="0"/>
          <w:szCs w:val="21"/>
        </w:rPr>
      </w:pPr>
      <w:r>
        <w:rPr>
          <w:snapToGrid w:val="0"/>
          <w:szCs w:val="21"/>
        </w:rPr>
        <w:t>本</w:t>
      </w:r>
      <w:r>
        <w:rPr>
          <w:rFonts w:hint="eastAsia"/>
          <w:snapToGrid w:val="0"/>
          <w:szCs w:val="21"/>
        </w:rPr>
        <w:t>部分</w:t>
      </w:r>
      <w:r>
        <w:rPr>
          <w:snapToGrid w:val="0"/>
          <w:szCs w:val="21"/>
        </w:rPr>
        <w:t>中未尽</w:t>
      </w:r>
      <w:r>
        <w:rPr>
          <w:rFonts w:hint="eastAsia"/>
          <w:snapToGrid w:val="0"/>
          <w:szCs w:val="21"/>
        </w:rPr>
        <w:t>事</w:t>
      </w:r>
      <w:r>
        <w:rPr>
          <w:snapToGrid w:val="0"/>
          <w:szCs w:val="21"/>
        </w:rPr>
        <w:t>宜按国标GB/T6109.1《漆包圆绕组线 一般规定》、GB/T6109.3《漆包圆绕组线120级缩醛漆包铜圆线》执行。</w:t>
      </w:r>
    </w:p>
    <w:p w14:paraId="68A15B85">
      <w:pPr>
        <w:pStyle w:val="60"/>
        <w:outlineLvl w:val="0"/>
      </w:pPr>
      <w:bookmarkStart w:id="4" w:name="_Toc438720042"/>
      <w:r>
        <w:rPr>
          <w:rFonts w:hint="eastAsia"/>
        </w:rPr>
        <w:t>2　规范性引用文件</w:t>
      </w:r>
      <w:bookmarkEnd w:id="4"/>
    </w:p>
    <w:p w14:paraId="541EEA4A">
      <w:pPr>
        <w:topLinePunct/>
        <w:spacing w:line="326" w:lineRule="exact"/>
        <w:ind w:firstLine="420"/>
        <w:rPr>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6F253DBE">
      <w:pPr>
        <w:topLinePunct/>
        <w:spacing w:line="326" w:lineRule="exact"/>
        <w:ind w:firstLine="420"/>
        <w:rPr>
          <w:snapToGrid w:val="0"/>
          <w:szCs w:val="21"/>
        </w:rPr>
      </w:pPr>
      <w:r>
        <w:rPr>
          <w:snapToGrid w:val="0"/>
          <w:szCs w:val="21"/>
        </w:rPr>
        <w:t xml:space="preserve">GB4047.1~6 </w:t>
      </w:r>
      <w:r>
        <w:rPr>
          <w:rFonts w:hint="eastAsia"/>
          <w:snapToGrid w:val="0"/>
          <w:szCs w:val="21"/>
        </w:rPr>
        <w:t xml:space="preserve">        《</w:t>
      </w:r>
      <w:r>
        <w:rPr>
          <w:snapToGrid w:val="0"/>
          <w:szCs w:val="21"/>
        </w:rPr>
        <w:t>绕组线试验方法</w:t>
      </w:r>
      <w:r>
        <w:rPr>
          <w:rFonts w:hint="eastAsia"/>
          <w:snapToGrid w:val="0"/>
          <w:szCs w:val="21"/>
        </w:rPr>
        <w:t>》</w:t>
      </w:r>
    </w:p>
    <w:p w14:paraId="2C91B492">
      <w:pPr>
        <w:topLinePunct/>
        <w:spacing w:line="326" w:lineRule="exact"/>
        <w:ind w:firstLine="420"/>
        <w:rPr>
          <w:snapToGrid w:val="0"/>
          <w:szCs w:val="21"/>
        </w:rPr>
      </w:pPr>
      <w:r>
        <w:rPr>
          <w:snapToGrid w:val="0"/>
          <w:szCs w:val="21"/>
        </w:rPr>
        <w:t>GB/T 6109.1</w:t>
      </w:r>
      <w:r>
        <w:rPr>
          <w:rFonts w:hint="eastAsia"/>
          <w:snapToGrid w:val="0"/>
          <w:szCs w:val="21"/>
        </w:rPr>
        <w:t xml:space="preserve">         《</w:t>
      </w:r>
      <w:r>
        <w:rPr>
          <w:snapToGrid w:val="0"/>
          <w:szCs w:val="21"/>
        </w:rPr>
        <w:t>漆包圆绕组线  一般规定</w:t>
      </w:r>
      <w:r>
        <w:rPr>
          <w:rFonts w:hint="eastAsia"/>
          <w:snapToGrid w:val="0"/>
          <w:szCs w:val="21"/>
        </w:rPr>
        <w:t>》</w:t>
      </w:r>
    </w:p>
    <w:p w14:paraId="6B1FCF51">
      <w:pPr>
        <w:topLinePunct/>
        <w:spacing w:line="326" w:lineRule="exact"/>
        <w:ind w:firstLine="420"/>
        <w:rPr>
          <w:snapToGrid w:val="0"/>
          <w:szCs w:val="21"/>
        </w:rPr>
      </w:pPr>
      <w:r>
        <w:rPr>
          <w:snapToGrid w:val="0"/>
          <w:szCs w:val="21"/>
        </w:rPr>
        <w:t>GB/T 6109.3</w:t>
      </w:r>
      <w:r>
        <w:rPr>
          <w:rFonts w:hint="eastAsia"/>
          <w:snapToGrid w:val="0"/>
          <w:szCs w:val="21"/>
        </w:rPr>
        <w:t xml:space="preserve">         《</w:t>
      </w:r>
      <w:r>
        <w:rPr>
          <w:snapToGrid w:val="0"/>
          <w:szCs w:val="21"/>
        </w:rPr>
        <w:t>120 级缩醛漆包铜圆线</w:t>
      </w:r>
      <w:r>
        <w:rPr>
          <w:rFonts w:hint="eastAsia"/>
          <w:snapToGrid w:val="0"/>
          <w:szCs w:val="21"/>
        </w:rPr>
        <w:t>》</w:t>
      </w:r>
    </w:p>
    <w:p w14:paraId="07C2D3B1">
      <w:pPr>
        <w:pStyle w:val="60"/>
        <w:outlineLvl w:val="0"/>
      </w:pPr>
      <w:bookmarkStart w:id="5" w:name="_Toc438720043"/>
      <w:r>
        <w:rPr>
          <w:rFonts w:hint="eastAsia"/>
        </w:rPr>
        <w:t>3　术语和定义</w:t>
      </w:r>
      <w:bookmarkEnd w:id="5"/>
    </w:p>
    <w:p w14:paraId="1110012F">
      <w:pPr>
        <w:topLinePunct/>
        <w:spacing w:line="326" w:lineRule="exact"/>
        <w:ind w:firstLine="420"/>
        <w:rPr>
          <w:snapToGrid w:val="0"/>
          <w:szCs w:val="21"/>
        </w:rPr>
      </w:pPr>
      <w:r>
        <w:rPr>
          <w:rFonts w:hint="eastAsia"/>
          <w:snapToGrid w:val="0"/>
          <w:szCs w:val="21"/>
        </w:rPr>
        <w:t>下列术语和定义适用于本文件。</w:t>
      </w:r>
    </w:p>
    <w:p w14:paraId="7692F621">
      <w:pPr>
        <w:topLinePunct/>
        <w:spacing w:line="326" w:lineRule="exact"/>
        <w:ind w:firstLine="420"/>
        <w:rPr>
          <w:snapToGrid w:val="0"/>
          <w:szCs w:val="21"/>
        </w:rPr>
      </w:pPr>
      <w:r>
        <w:rPr>
          <w:snapToGrid w:val="0"/>
          <w:szCs w:val="21"/>
        </w:rPr>
        <w:t>3.1</w:t>
      </w:r>
      <w:r>
        <w:rPr>
          <w:rFonts w:hint="eastAsia"/>
          <w:snapToGrid w:val="0"/>
          <w:szCs w:val="21"/>
        </w:rPr>
        <w:t>　</w:t>
      </w:r>
    </w:p>
    <w:p w14:paraId="081787AA">
      <w:pPr>
        <w:topLinePunct/>
        <w:spacing w:line="326" w:lineRule="exact"/>
        <w:ind w:firstLine="420"/>
        <w:rPr>
          <w:snapToGrid w:val="0"/>
          <w:szCs w:val="21"/>
        </w:rPr>
      </w:pPr>
      <w:r>
        <w:rPr>
          <w:rFonts w:hint="eastAsia"/>
          <w:snapToGrid w:val="0"/>
          <w:szCs w:val="21"/>
        </w:rPr>
        <w:t>招标人　</w:t>
      </w:r>
      <w:r>
        <w:rPr>
          <w:snapToGrid w:val="0"/>
          <w:szCs w:val="21"/>
        </w:rPr>
        <w:t>bidder</w:t>
      </w:r>
    </w:p>
    <w:p w14:paraId="55A78029">
      <w:pPr>
        <w:topLinePunct/>
        <w:spacing w:line="326" w:lineRule="exact"/>
        <w:ind w:firstLine="420"/>
        <w:rPr>
          <w:snapToGrid w:val="0"/>
          <w:szCs w:val="21"/>
        </w:rPr>
      </w:pPr>
      <w:r>
        <w:rPr>
          <w:rFonts w:hint="eastAsia"/>
          <w:snapToGrid w:val="0"/>
          <w:szCs w:val="21"/>
        </w:rPr>
        <w:t>提出招标项目，进行招标的法人或其他组织。</w:t>
      </w:r>
    </w:p>
    <w:p w14:paraId="0CB83916">
      <w:pPr>
        <w:topLinePunct/>
        <w:spacing w:line="326" w:lineRule="exact"/>
        <w:ind w:firstLine="420"/>
        <w:rPr>
          <w:snapToGrid w:val="0"/>
          <w:szCs w:val="21"/>
        </w:rPr>
      </w:pPr>
      <w:r>
        <w:rPr>
          <w:snapToGrid w:val="0"/>
          <w:szCs w:val="21"/>
        </w:rPr>
        <w:t>3.2</w:t>
      </w:r>
      <w:r>
        <w:rPr>
          <w:rFonts w:hint="eastAsia"/>
          <w:snapToGrid w:val="0"/>
          <w:szCs w:val="21"/>
        </w:rPr>
        <w:t>　</w:t>
      </w:r>
    </w:p>
    <w:p w14:paraId="23D2F5F3">
      <w:pPr>
        <w:topLinePunct/>
        <w:spacing w:line="326" w:lineRule="exact"/>
        <w:ind w:firstLine="420"/>
        <w:rPr>
          <w:snapToGrid w:val="0"/>
          <w:szCs w:val="21"/>
        </w:rPr>
      </w:pPr>
      <w:r>
        <w:rPr>
          <w:rFonts w:hint="eastAsia"/>
          <w:snapToGrid w:val="0"/>
          <w:szCs w:val="21"/>
        </w:rPr>
        <w:t>投标人　</w:t>
      </w:r>
      <w:r>
        <w:rPr>
          <w:snapToGrid w:val="0"/>
          <w:szCs w:val="21"/>
        </w:rPr>
        <w:t>tenderer</w:t>
      </w:r>
    </w:p>
    <w:p w14:paraId="6092A74A">
      <w:pPr>
        <w:topLinePunct/>
        <w:spacing w:line="326" w:lineRule="exact"/>
        <w:ind w:firstLine="420"/>
        <w:rPr>
          <w:snapToGrid w:val="0"/>
          <w:szCs w:val="21"/>
        </w:rPr>
      </w:pPr>
      <w:r>
        <w:rPr>
          <w:rFonts w:hint="eastAsia"/>
          <w:snapToGrid w:val="0"/>
          <w:szCs w:val="21"/>
        </w:rPr>
        <w:t>响应招标、参加投标竞争的法人或者其他组织。</w:t>
      </w:r>
    </w:p>
    <w:p w14:paraId="09AB863D">
      <w:pPr>
        <w:topLinePunct/>
        <w:spacing w:line="326" w:lineRule="exact"/>
        <w:ind w:firstLine="420"/>
        <w:rPr>
          <w:snapToGrid w:val="0"/>
          <w:szCs w:val="21"/>
        </w:rPr>
      </w:pPr>
      <w:r>
        <w:rPr>
          <w:snapToGrid w:val="0"/>
          <w:szCs w:val="21"/>
        </w:rPr>
        <w:t>3.3</w:t>
      </w:r>
      <w:r>
        <w:rPr>
          <w:rFonts w:hint="eastAsia"/>
          <w:snapToGrid w:val="0"/>
          <w:szCs w:val="21"/>
        </w:rPr>
        <w:t>　</w:t>
      </w:r>
    </w:p>
    <w:p w14:paraId="5767EC3F">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1C4A1775">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6059690B">
      <w:pPr>
        <w:topLinePunct/>
        <w:spacing w:line="326" w:lineRule="exact"/>
        <w:ind w:firstLine="420"/>
        <w:rPr>
          <w:snapToGrid w:val="0"/>
          <w:szCs w:val="21"/>
        </w:rPr>
      </w:pPr>
      <w:r>
        <w:rPr>
          <w:snapToGrid w:val="0"/>
          <w:szCs w:val="21"/>
        </w:rPr>
        <w:t>3.4</w:t>
      </w:r>
    </w:p>
    <w:p w14:paraId="449494DF">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15022FB8">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454A6E05">
      <w:pPr>
        <w:pStyle w:val="60"/>
        <w:outlineLvl w:val="0"/>
      </w:pPr>
      <w:bookmarkStart w:id="6" w:name="_Toc438720044"/>
      <w:r>
        <w:rPr>
          <w:rFonts w:hint="eastAsia"/>
        </w:rPr>
        <w:t>4　总则</w:t>
      </w:r>
      <w:bookmarkEnd w:id="6"/>
    </w:p>
    <w:p w14:paraId="2F5E9BEA">
      <w:pPr>
        <w:pStyle w:val="59"/>
      </w:pPr>
      <w:r>
        <w:rPr>
          <w:rFonts w:hint="eastAsia"/>
        </w:rPr>
        <w:t>4</w:t>
      </w:r>
      <w:r>
        <w:rPr>
          <w:rFonts w:hint="eastAsia"/>
          <w:spacing w:val="20"/>
        </w:rPr>
        <w:t>.</w:t>
      </w:r>
      <w:r>
        <w:rPr>
          <w:rFonts w:hint="eastAsia"/>
        </w:rPr>
        <w:t>1　一般规定</w:t>
      </w:r>
    </w:p>
    <w:p w14:paraId="03B11D70">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5AE3FC83">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06466F4A">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700440D3">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如果投标人没有以书面形式对本部分的条文提出差异，则意味着投标人提供的产品完全符合本部分的要求。如有与本部分要求不一致的地方，应逐项在技术差异表中列出。</w:t>
      </w:r>
    </w:p>
    <w:p w14:paraId="366E4E44">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3705502A">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2D653D9A">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569AF442">
      <w:pPr>
        <w:pStyle w:val="59"/>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10214B4F">
      <w:pPr>
        <w:topLinePunct/>
        <w:spacing w:line="312" w:lineRule="exact"/>
        <w:ind w:firstLine="420"/>
        <w:rPr>
          <w:snapToGrid w:val="0"/>
          <w:szCs w:val="21"/>
        </w:rPr>
      </w:pPr>
      <w:r>
        <w:rPr>
          <w:rFonts w:hint="eastAsia"/>
          <w:snapToGrid w:val="0"/>
          <w:szCs w:val="21"/>
        </w:rPr>
        <w:t>投标人应提供下列资格文件：</w:t>
      </w:r>
    </w:p>
    <w:p w14:paraId="1C4C23BA">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投标人或制造商投标产品的销售记录及相应的最终用户的使用情况证明。</w:t>
      </w:r>
    </w:p>
    <w:p w14:paraId="36A30061">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投标人或制造商应提供权威机关颁发的</w:t>
      </w:r>
      <w:r>
        <w:rPr>
          <w:snapToGrid w:val="0"/>
          <w:szCs w:val="21"/>
        </w:rPr>
        <w:t>ISO 9000</w:t>
      </w:r>
      <w:r>
        <w:rPr>
          <w:rFonts w:hint="eastAsia"/>
          <w:snapToGrid w:val="0"/>
          <w:szCs w:val="21"/>
        </w:rPr>
        <w:t>系列的认证书。</w:t>
      </w:r>
    </w:p>
    <w:p w14:paraId="3D6C86BE">
      <w:pPr>
        <w:topLinePunct/>
        <w:spacing w:line="312" w:lineRule="exact"/>
        <w:ind w:left="840" w:hanging="420"/>
        <w:rPr>
          <w:snapToGrid w:val="0"/>
          <w:szCs w:val="21"/>
        </w:rPr>
      </w:pPr>
      <w:r>
        <w:rPr>
          <w:snapToGrid w:val="0"/>
          <w:szCs w:val="21"/>
        </w:rPr>
        <w:t>c</w:t>
      </w:r>
      <w:r>
        <w:rPr>
          <w:rFonts w:hint="eastAsia"/>
          <w:snapToGrid w:val="0"/>
          <w:szCs w:val="21"/>
        </w:rPr>
        <w:t>）</w:t>
      </w:r>
      <w:r>
        <w:rPr>
          <w:snapToGrid w:val="0"/>
          <w:szCs w:val="21"/>
        </w:rPr>
        <w:tab/>
      </w:r>
      <w:r>
        <w:rPr>
          <w:rFonts w:hint="eastAsia"/>
          <w:snapToGrid w:val="0"/>
          <w:szCs w:val="21"/>
        </w:rPr>
        <w:t>投标人或制造商应提供履行合同所需的技术和主要产品等生产能力的文件资料。</w:t>
      </w:r>
    </w:p>
    <w:p w14:paraId="031D8DF8">
      <w:pPr>
        <w:topLinePunct/>
        <w:spacing w:line="312" w:lineRule="exact"/>
        <w:ind w:left="840" w:hanging="420"/>
        <w:rPr>
          <w:snapToGrid w:val="0"/>
          <w:szCs w:val="21"/>
        </w:rPr>
      </w:pPr>
      <w:r>
        <w:rPr>
          <w:snapToGrid w:val="0"/>
          <w:szCs w:val="21"/>
        </w:rPr>
        <w:t>d</w:t>
      </w:r>
      <w:r>
        <w:rPr>
          <w:rFonts w:hint="eastAsia"/>
          <w:snapToGrid w:val="0"/>
          <w:szCs w:val="21"/>
        </w:rPr>
        <w:t>）</w:t>
      </w:r>
      <w:r>
        <w:rPr>
          <w:snapToGrid w:val="0"/>
          <w:szCs w:val="21"/>
        </w:rPr>
        <w:tab/>
      </w:r>
      <w:r>
        <w:rPr>
          <w:rFonts w:hint="eastAsia"/>
          <w:snapToGrid w:val="0"/>
          <w:szCs w:val="21"/>
        </w:rPr>
        <w:t>投标人应提供有能力履行合同产品维护保养、修理及其他服务义务的文件。</w:t>
      </w:r>
    </w:p>
    <w:p w14:paraId="33CAD421">
      <w:pPr>
        <w:topLinePunct/>
        <w:spacing w:line="312" w:lineRule="exact"/>
        <w:ind w:left="840" w:hanging="420"/>
        <w:rPr>
          <w:snapToGrid w:val="0"/>
          <w:szCs w:val="21"/>
        </w:rPr>
      </w:pPr>
      <w:r>
        <w:rPr>
          <w:snapToGrid w:val="0"/>
          <w:szCs w:val="21"/>
        </w:rPr>
        <w:t>e</w:t>
      </w:r>
      <w:r>
        <w:rPr>
          <w:rFonts w:hint="eastAsia"/>
          <w:snapToGrid w:val="0"/>
          <w:szCs w:val="21"/>
        </w:rPr>
        <w:t>）</w:t>
      </w:r>
      <w:r>
        <w:rPr>
          <w:snapToGrid w:val="0"/>
          <w:szCs w:val="21"/>
        </w:rPr>
        <w:tab/>
      </w:r>
      <w:r>
        <w:rPr>
          <w:rFonts w:hint="eastAsia"/>
          <w:snapToGrid w:val="0"/>
          <w:szCs w:val="21"/>
        </w:rPr>
        <w:t>投标人或制造商应提供投标产品全部有效期内合格的型式试验报告和</w:t>
      </w:r>
      <w:r>
        <w:rPr>
          <w:snapToGrid w:val="0"/>
          <w:szCs w:val="21"/>
        </w:rPr>
        <w:t>CCC</w:t>
      </w:r>
      <w:r>
        <w:rPr>
          <w:rFonts w:hint="eastAsia"/>
          <w:snapToGrid w:val="0"/>
          <w:szCs w:val="21"/>
        </w:rPr>
        <w:t>产品认证证书。</w:t>
      </w:r>
    </w:p>
    <w:p w14:paraId="32CAB1E3">
      <w:pPr>
        <w:pStyle w:val="59"/>
      </w:pPr>
      <w:r>
        <w:rPr>
          <w:rFonts w:hint="eastAsia"/>
        </w:rPr>
        <w:t>4</w:t>
      </w:r>
      <w:r>
        <w:rPr>
          <w:rFonts w:hint="eastAsia"/>
          <w:spacing w:val="20"/>
        </w:rPr>
        <w:t>.</w:t>
      </w:r>
      <w:r>
        <w:rPr>
          <w:rFonts w:hint="eastAsia"/>
        </w:rPr>
        <w:t>3　适用范围</w:t>
      </w:r>
    </w:p>
    <w:p w14:paraId="6E0749A4">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本部分的适用范围仅限于本项目的投标产品。内容包括设计、结构、性能、试验、及现场服务和技术服务。</w:t>
      </w:r>
    </w:p>
    <w:p w14:paraId="7C74E6B6">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　</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5E09A5A8">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667175A4">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3AB2CB49">
      <w:pPr>
        <w:topLinePunct/>
        <w:spacing w:line="312" w:lineRule="exact"/>
        <w:ind w:firstLine="420"/>
        <w:rPr>
          <w:szCs w:val="21"/>
        </w:rPr>
      </w:pPr>
      <w:r>
        <w:rPr>
          <w:rFonts w:hint="eastAsia"/>
          <w:szCs w:val="21"/>
        </w:rPr>
        <w:t>投标人应提供具体投标系列所对应的资质文件：</w:t>
      </w:r>
    </w:p>
    <w:p w14:paraId="0CE0F64C">
      <w:pPr>
        <w:ind w:left="840" w:hanging="420"/>
      </w:pPr>
      <w:r>
        <w:t>a</w:t>
      </w:r>
      <w:r>
        <w:rPr>
          <w:rFonts w:hint="eastAsia"/>
        </w:rPr>
        <w:t>）</w:t>
      </w:r>
      <w:r>
        <w:tab/>
      </w:r>
      <w:r>
        <w:rPr>
          <w:rFonts w:hint="eastAsia"/>
        </w:rPr>
        <w:t>变压器用漆包圆绕组线的3C证书、型式试验报告和出厂试验报告。</w:t>
      </w:r>
    </w:p>
    <w:p w14:paraId="362B9AF0">
      <w:pPr>
        <w:ind w:left="840" w:hanging="420"/>
      </w:pPr>
      <w:r>
        <w:t>b</w:t>
      </w:r>
      <w:r>
        <w:rPr>
          <w:rFonts w:hint="eastAsia"/>
        </w:rPr>
        <w:t>）</w:t>
      </w:r>
      <w:r>
        <w:tab/>
      </w:r>
      <w:r>
        <w:rPr>
          <w:rFonts w:hint="eastAsia"/>
        </w:rPr>
        <w:t>当产品的设计、工艺、生产条件或使用的材料及主要元件发生重大改变而影响到产品性能时，应做相应的型式试验并提供试验报告。</w:t>
      </w:r>
    </w:p>
    <w:p w14:paraId="3D7E65D1">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15354A61">
      <w:pPr>
        <w:topLinePunct/>
        <w:spacing w:line="312" w:lineRule="exact"/>
        <w:ind w:firstLine="210" w:firstLineChars="100"/>
        <w:rPr>
          <w:snapToGrid w:val="0"/>
          <w:szCs w:val="21"/>
        </w:rPr>
      </w:pPr>
      <w:r>
        <w:rPr>
          <w:rFonts w:hint="eastAsia" w:ascii="EU-F1"/>
          <w:snapToGrid w:val="0"/>
          <w:szCs w:val="21"/>
        </w:rPr>
        <w:t>　</w:t>
      </w:r>
      <w:r>
        <w:rPr>
          <w:rFonts w:hint="eastAsia"/>
          <w:snapToGrid w:val="0"/>
          <w:szCs w:val="21"/>
        </w:rPr>
        <w:t>合同中所有产品，除本部分中规定的技术参数和要求外，其余均应遵照最新版本的电力行业标准（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），这是对产品的最低要求。投标人如果采用自己的标准或规范，应向招标人提供中文和英文（若有）复印件并经招标人同意后方可采用，但不能低于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40F73300">
      <w:pPr>
        <w:pStyle w:val="59"/>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646DDD24">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7CA7F1EF">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2AABFCED">
      <w:pPr>
        <w:pStyle w:val="59"/>
        <w:rPr>
          <w:snapToGrid w:val="0"/>
        </w:rPr>
      </w:pPr>
      <w:r>
        <w:rPr>
          <w:rFonts w:hint="eastAsia"/>
          <w:snapToGrid w:val="0"/>
        </w:rPr>
        <w:t>4</w:t>
      </w:r>
      <w:r>
        <w:rPr>
          <w:rFonts w:hint="eastAsia"/>
          <w:snapToGrid w:val="0"/>
          <w:spacing w:val="20"/>
        </w:rPr>
        <w:t>.</w:t>
      </w:r>
      <w:r>
        <w:rPr>
          <w:rFonts w:hint="eastAsia"/>
          <w:snapToGrid w:val="0"/>
        </w:rPr>
        <w:t>7　安装、调试、性能试验、试运行和验收</w:t>
      </w:r>
    </w:p>
    <w:p w14:paraId="1C8D1EA9">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合同产品的安装、调试将由招标人根据投标人提供的技术文件和说明书的规定在投标人技术人员指导下进行。</w:t>
      </w:r>
    </w:p>
    <w:p w14:paraId="33B836C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2　</w:t>
      </w:r>
      <w:r>
        <w:rPr>
          <w:rFonts w:hint="eastAsia"/>
          <w:snapToGrid w:val="0"/>
          <w:szCs w:val="21"/>
        </w:rPr>
        <w:t>合同产品的性能试验、试运行和验收根据本部分规定的标准、规程规范进行。</w:t>
      </w:r>
    </w:p>
    <w:p w14:paraId="407254AA">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.3</w:t>
      </w:r>
      <w:r>
        <w:rPr>
          <w:rFonts w:hint="eastAsia" w:ascii="EU-F1"/>
          <w:snapToGrid w:val="0"/>
          <w:szCs w:val="21"/>
        </w:rPr>
        <w:t>　</w:t>
      </w:r>
      <w:r>
        <w:rPr>
          <w:rFonts w:hint="eastAsia"/>
          <w:snapToGrid w:val="0"/>
          <w:spacing w:val="-2"/>
          <w:szCs w:val="21"/>
        </w:rPr>
        <w:t>如果性能试验、使用及质保期内技术指标一项或多项不能满足合同技术部分要求，招投标双方共同分析原因，分清责任，如属制造方面的原因，或涉及索赔部分，按商务部分有关条款执行。</w:t>
      </w:r>
    </w:p>
    <w:p w14:paraId="1C4115DD">
      <w:pPr>
        <w:pStyle w:val="60"/>
        <w:outlineLvl w:val="0"/>
      </w:pPr>
      <w:bookmarkStart w:id="7" w:name="_Toc438720045"/>
      <w:r>
        <w:rPr>
          <w:rFonts w:hint="eastAsia"/>
        </w:rPr>
        <w:t>5　技术参数和性能要求</w:t>
      </w:r>
      <w:bookmarkEnd w:id="7"/>
    </w:p>
    <w:p w14:paraId="2283B3A4">
      <w:pPr>
        <w:pStyle w:val="59"/>
      </w:pPr>
      <w:r>
        <w:rPr>
          <w:rFonts w:hint="eastAsia"/>
        </w:rPr>
        <w:t>5</w:t>
      </w:r>
      <w:r>
        <w:rPr>
          <w:rFonts w:hint="eastAsia"/>
          <w:spacing w:val="20"/>
        </w:rPr>
        <w:t>.</w:t>
      </w:r>
      <w:r>
        <w:rPr>
          <w:rFonts w:hint="eastAsia"/>
        </w:rPr>
        <w:t>1　尺寸</w:t>
      </w:r>
    </w:p>
    <w:p w14:paraId="3B783E3D">
      <w:pPr>
        <w:ind w:left="840" w:hanging="420"/>
      </w:pPr>
      <w:r>
        <w:t>a</w:t>
      </w:r>
      <w:r>
        <w:rPr>
          <w:rFonts w:hint="eastAsia"/>
        </w:rPr>
        <w:t>）</w:t>
      </w:r>
      <w:r>
        <w:tab/>
      </w:r>
      <w:r>
        <w:t>导体直径与标称直径之差不应超过表 1 规定值</w:t>
      </w:r>
    </w:p>
    <w:p w14:paraId="7647A04D">
      <w:pPr>
        <w:ind w:left="840" w:hanging="420"/>
      </w:pPr>
      <w:r>
        <w:rPr>
          <w:rFonts w:hint="eastAsia"/>
        </w:rPr>
        <w:t>b）</w:t>
      </w:r>
      <w:r>
        <w:tab/>
      </w:r>
      <w:r>
        <w:t>导体不圆度任一点上最小直径和最大直径之差应不大于表 1 绝对值</w:t>
      </w:r>
    </w:p>
    <w:p w14:paraId="0D467E2C">
      <w:pPr>
        <w:ind w:left="840" w:hanging="420"/>
      </w:pPr>
      <w:r>
        <w:rPr>
          <w:rFonts w:hint="eastAsia"/>
        </w:rPr>
        <w:t>c）</w:t>
      </w:r>
      <w:r>
        <w:tab/>
      </w:r>
      <w:r>
        <w:rPr>
          <w:rFonts w:hint="eastAsia"/>
        </w:rPr>
        <w:t>最小漆膜厚度，应不小于表</w:t>
      </w:r>
      <w:r>
        <w:t xml:space="preserve"> 1 </w:t>
      </w:r>
      <w:r>
        <w:rPr>
          <w:rFonts w:hint="eastAsia"/>
        </w:rPr>
        <w:t>的规定值</w:t>
      </w:r>
    </w:p>
    <w:p w14:paraId="56D2C219">
      <w:pPr>
        <w:ind w:left="840" w:hanging="420"/>
      </w:pPr>
      <w:r>
        <w:rPr>
          <w:rFonts w:hint="eastAsia"/>
        </w:rPr>
        <w:t>d）</w:t>
      </w:r>
      <w:r>
        <w:tab/>
      </w:r>
      <w:r>
        <w:t>最大外径应不超过表 1 的规定值</w:t>
      </w:r>
    </w:p>
    <w:p w14:paraId="0458CC28">
      <w:pPr>
        <w:ind w:firstLine="2100" w:firstLineChars="1000"/>
      </w:pPr>
      <w:r>
        <w:rPr>
          <w:rFonts w:hint="eastAsia"/>
        </w:rPr>
        <w:t>非自粘性漆包线尺寸</w:t>
      </w:r>
      <w:r>
        <w:t xml:space="preserve">             </w:t>
      </w:r>
      <w:r>
        <w:rPr>
          <w:rFonts w:hint="eastAsia"/>
        </w:rPr>
        <w:t>表</w:t>
      </w:r>
      <w:r>
        <w:t xml:space="preserve"> 1</w:t>
      </w:r>
    </w:p>
    <w:tbl>
      <w:tblPr>
        <w:tblStyle w:val="38"/>
        <w:tblW w:w="906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73"/>
        <w:gridCol w:w="1403"/>
        <w:gridCol w:w="1400"/>
        <w:gridCol w:w="1700"/>
        <w:gridCol w:w="1512"/>
        <w:gridCol w:w="1672"/>
      </w:tblGrid>
      <w:tr w14:paraId="2647DF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009" w:hRule="atLeast"/>
        </w:trPr>
        <w:tc>
          <w:tcPr>
            <w:tcW w:w="1373" w:type="dxa"/>
            <w:vMerge w:val="restart"/>
            <w:tcBorders>
              <w:top w:val="single" w:color="000000" w:sz="2" w:space="0"/>
              <w:left w:val="single" w:color="000000" w:sz="2" w:space="0"/>
              <w:bottom w:val="single" w:color="000000" w:sz="2" w:space="0"/>
              <w:right w:val="single" w:color="000000" w:sz="2" w:space="0"/>
            </w:tcBorders>
            <w:vAlign w:val="center"/>
          </w:tcPr>
          <w:p w14:paraId="48B399FA">
            <w:pPr>
              <w:jc w:val="center"/>
            </w:pPr>
            <w:r>
              <w:rPr>
                <w:rFonts w:hint="eastAsia"/>
              </w:rPr>
              <w:t>导体标称</w:t>
            </w:r>
          </w:p>
          <w:p w14:paraId="06BEB552">
            <w:pPr>
              <w:jc w:val="center"/>
            </w:pPr>
            <w:r>
              <w:rPr>
                <w:rFonts w:hint="eastAsia"/>
              </w:rPr>
              <w:t>直径/</w:t>
            </w:r>
            <w:r>
              <w:t xml:space="preserve"> </w:t>
            </w:r>
          </w:p>
          <w:p w14:paraId="5D9CBF05">
            <w:pPr>
              <w:jc w:val="center"/>
            </w:pPr>
            <w:r>
              <w:t>mm</w:t>
            </w:r>
          </w:p>
        </w:tc>
        <w:tc>
          <w:tcPr>
            <w:tcW w:w="1403" w:type="dxa"/>
            <w:vMerge w:val="restart"/>
            <w:tcBorders>
              <w:top w:val="single" w:color="000000" w:sz="2" w:space="0"/>
              <w:left w:val="single" w:color="000000" w:sz="2" w:space="0"/>
              <w:bottom w:val="single" w:color="000000" w:sz="2" w:space="0"/>
              <w:right w:val="single" w:color="000000" w:sz="2" w:space="0"/>
            </w:tcBorders>
            <w:vAlign w:val="center"/>
          </w:tcPr>
          <w:p w14:paraId="2BA8131D">
            <w:pPr>
              <w:jc w:val="center"/>
            </w:pPr>
            <w:r>
              <w:rPr>
                <w:rFonts w:hint="eastAsia"/>
              </w:rPr>
              <w:t>极限偏差</w:t>
            </w:r>
          </w:p>
          <w:p w14:paraId="61590E43">
            <w:pPr>
              <w:jc w:val="center"/>
            </w:pPr>
            <w:r>
              <w:t>±/</w:t>
            </w:r>
          </w:p>
          <w:p w14:paraId="30850C50">
            <w:pPr>
              <w:jc w:val="center"/>
            </w:pPr>
            <w:r>
              <w:t>mm</w:t>
            </w:r>
          </w:p>
        </w:tc>
        <w:tc>
          <w:tcPr>
            <w:tcW w:w="3100" w:type="dxa"/>
            <w:gridSpan w:val="2"/>
            <w:tcBorders>
              <w:top w:val="single" w:color="000000" w:sz="2" w:space="0"/>
              <w:left w:val="single" w:color="000000" w:sz="2" w:space="0"/>
              <w:bottom w:val="single" w:color="000000" w:sz="2" w:space="0"/>
              <w:right w:val="single" w:color="000000" w:sz="2" w:space="0"/>
            </w:tcBorders>
            <w:vAlign w:val="center"/>
          </w:tcPr>
          <w:p w14:paraId="7A23C763">
            <w:pPr>
              <w:jc w:val="center"/>
            </w:pPr>
            <w:r>
              <w:rPr>
                <w:rFonts w:hint="eastAsia"/>
              </w:rPr>
              <w:t>最小漆膜厚</w:t>
            </w:r>
            <w:r>
              <w:t>/</w:t>
            </w:r>
          </w:p>
          <w:p w14:paraId="7B362915">
            <w:pPr>
              <w:jc w:val="center"/>
            </w:pPr>
            <w:r>
              <w:t>mm</w:t>
            </w:r>
          </w:p>
        </w:tc>
        <w:tc>
          <w:tcPr>
            <w:tcW w:w="3184" w:type="dxa"/>
            <w:gridSpan w:val="2"/>
            <w:tcBorders>
              <w:top w:val="single" w:color="000000" w:sz="2" w:space="0"/>
              <w:left w:val="single" w:color="000000" w:sz="2" w:space="0"/>
              <w:bottom w:val="single" w:color="000000" w:sz="2" w:space="0"/>
              <w:right w:val="single" w:color="000000" w:sz="2" w:space="0"/>
            </w:tcBorders>
            <w:vAlign w:val="center"/>
          </w:tcPr>
          <w:p w14:paraId="5E60C717">
            <w:pPr>
              <w:jc w:val="center"/>
            </w:pPr>
            <w:r>
              <w:rPr>
                <w:rFonts w:hint="eastAsia"/>
              </w:rPr>
              <w:t>最大外径</w:t>
            </w:r>
            <w:r>
              <w:t>/</w:t>
            </w:r>
          </w:p>
          <w:p w14:paraId="67D30A88">
            <w:pPr>
              <w:jc w:val="center"/>
            </w:pPr>
            <w:r>
              <w:t>mm</w:t>
            </w:r>
          </w:p>
        </w:tc>
      </w:tr>
      <w:tr w14:paraId="31D7CC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02" w:hRule="atLeast"/>
        </w:trPr>
        <w:tc>
          <w:tcPr>
            <w:tcW w:w="1373" w:type="dxa"/>
            <w:vMerge w:val="continue"/>
            <w:tcBorders>
              <w:top w:val="single" w:color="000000" w:sz="2" w:space="0"/>
              <w:left w:val="single" w:color="000000" w:sz="2" w:space="0"/>
              <w:bottom w:val="single" w:color="000000" w:sz="2" w:space="0"/>
              <w:right w:val="single" w:color="000000" w:sz="2" w:space="0"/>
            </w:tcBorders>
            <w:vAlign w:val="center"/>
          </w:tcPr>
          <w:p w14:paraId="2E5B876C"/>
        </w:tc>
        <w:tc>
          <w:tcPr>
            <w:tcW w:w="1403" w:type="dxa"/>
            <w:vMerge w:val="continue"/>
            <w:tcBorders>
              <w:top w:val="single" w:color="000000" w:sz="2" w:space="0"/>
              <w:left w:val="single" w:color="000000" w:sz="2" w:space="0"/>
              <w:bottom w:val="single" w:color="000000" w:sz="2" w:space="0"/>
              <w:right w:val="single" w:color="000000" w:sz="2" w:space="0"/>
            </w:tcBorders>
            <w:vAlign w:val="center"/>
          </w:tcPr>
          <w:p w14:paraId="086702D8"/>
        </w:tc>
        <w:tc>
          <w:tcPr>
            <w:tcW w:w="1400" w:type="dxa"/>
            <w:tcBorders>
              <w:top w:val="single" w:color="000000" w:sz="2" w:space="0"/>
              <w:left w:val="single" w:color="000000" w:sz="2" w:space="0"/>
              <w:bottom w:val="single" w:color="000000" w:sz="2" w:space="0"/>
              <w:right w:val="single" w:color="000000" w:sz="2" w:space="0"/>
            </w:tcBorders>
            <w:vAlign w:val="center"/>
          </w:tcPr>
          <w:p w14:paraId="72E4CC51">
            <w:pPr>
              <w:jc w:val="center"/>
            </w:pPr>
            <w:r>
              <w:t xml:space="preserve">1 </w:t>
            </w:r>
            <w:r>
              <w:rPr>
                <w:rFonts w:hint="eastAsia"/>
              </w:rPr>
              <w:t>级</w:t>
            </w:r>
          </w:p>
        </w:tc>
        <w:tc>
          <w:tcPr>
            <w:tcW w:w="1700" w:type="dxa"/>
            <w:tcBorders>
              <w:top w:val="single" w:color="000000" w:sz="2" w:space="0"/>
              <w:left w:val="single" w:color="000000" w:sz="2" w:space="0"/>
              <w:bottom w:val="single" w:color="000000" w:sz="2" w:space="0"/>
              <w:right w:val="single" w:color="000000" w:sz="2" w:space="0"/>
            </w:tcBorders>
            <w:vAlign w:val="center"/>
          </w:tcPr>
          <w:p w14:paraId="4E7F33F0">
            <w:pPr>
              <w:jc w:val="center"/>
            </w:pPr>
            <w:r>
              <w:t xml:space="preserve">2 </w:t>
            </w:r>
            <w:r>
              <w:rPr>
                <w:rFonts w:hint="eastAsia"/>
              </w:rPr>
              <w:t>级</w:t>
            </w:r>
          </w:p>
        </w:tc>
        <w:tc>
          <w:tcPr>
            <w:tcW w:w="1512" w:type="dxa"/>
            <w:tcBorders>
              <w:top w:val="single" w:color="000000" w:sz="2" w:space="0"/>
              <w:left w:val="single" w:color="000000" w:sz="2" w:space="0"/>
              <w:bottom w:val="single" w:color="000000" w:sz="2" w:space="0"/>
              <w:right w:val="single" w:color="000000" w:sz="2" w:space="0"/>
            </w:tcBorders>
            <w:vAlign w:val="center"/>
          </w:tcPr>
          <w:p w14:paraId="00F8696A">
            <w:pPr>
              <w:jc w:val="center"/>
            </w:pPr>
            <w:r>
              <w:t xml:space="preserve">1 </w:t>
            </w:r>
            <w:r>
              <w:rPr>
                <w:rFonts w:hint="eastAsia"/>
              </w:rPr>
              <w:t>级</w:t>
            </w:r>
          </w:p>
        </w:tc>
        <w:tc>
          <w:tcPr>
            <w:tcW w:w="1671" w:type="dxa"/>
            <w:tcBorders>
              <w:top w:val="single" w:color="000000" w:sz="2" w:space="0"/>
              <w:left w:val="single" w:color="000000" w:sz="2" w:space="0"/>
              <w:bottom w:val="single" w:color="000000" w:sz="2" w:space="0"/>
              <w:right w:val="single" w:color="000000" w:sz="2" w:space="0"/>
            </w:tcBorders>
            <w:vAlign w:val="center"/>
          </w:tcPr>
          <w:p w14:paraId="54F0B836">
            <w:pPr>
              <w:jc w:val="center"/>
            </w:pPr>
            <w:r>
              <w:t xml:space="preserve">2 </w:t>
            </w:r>
            <w:r>
              <w:rPr>
                <w:rFonts w:hint="eastAsia"/>
              </w:rPr>
              <w:t>级</w:t>
            </w:r>
          </w:p>
        </w:tc>
      </w:tr>
      <w:tr w14:paraId="06CA9E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5" w:hRule="atLeast"/>
        </w:trPr>
        <w:tc>
          <w:tcPr>
            <w:tcW w:w="1373" w:type="dxa"/>
            <w:tcBorders>
              <w:top w:val="single" w:color="000000" w:sz="2" w:space="0"/>
              <w:left w:val="single" w:color="000000" w:sz="2" w:space="0"/>
              <w:bottom w:val="nil"/>
              <w:right w:val="single" w:color="000000" w:sz="2" w:space="0"/>
            </w:tcBorders>
            <w:vAlign w:val="center"/>
          </w:tcPr>
          <w:p w14:paraId="3EBA263E">
            <w:pPr>
              <w:jc w:val="center"/>
            </w:pPr>
            <w:r>
              <w:t>0.500</w:t>
            </w:r>
          </w:p>
        </w:tc>
        <w:tc>
          <w:tcPr>
            <w:tcW w:w="1403" w:type="dxa"/>
            <w:tcBorders>
              <w:top w:val="single" w:color="000000" w:sz="2" w:space="0"/>
              <w:left w:val="single" w:color="000000" w:sz="2" w:space="0"/>
              <w:bottom w:val="nil"/>
              <w:right w:val="single" w:color="000000" w:sz="2" w:space="0"/>
            </w:tcBorders>
            <w:vAlign w:val="center"/>
          </w:tcPr>
          <w:p w14:paraId="0659F73D">
            <w:pPr>
              <w:jc w:val="center"/>
            </w:pPr>
            <w:r>
              <w:t>0.005</w:t>
            </w:r>
          </w:p>
        </w:tc>
        <w:tc>
          <w:tcPr>
            <w:tcW w:w="1400" w:type="dxa"/>
            <w:tcBorders>
              <w:top w:val="single" w:color="000000" w:sz="2" w:space="0"/>
              <w:left w:val="single" w:color="000000" w:sz="2" w:space="0"/>
              <w:bottom w:val="nil"/>
              <w:right w:val="single" w:color="000000" w:sz="2" w:space="0"/>
            </w:tcBorders>
            <w:vAlign w:val="center"/>
          </w:tcPr>
          <w:p w14:paraId="446E830D">
            <w:pPr>
              <w:jc w:val="center"/>
            </w:pPr>
            <w:r>
              <w:t>0.024</w:t>
            </w:r>
          </w:p>
        </w:tc>
        <w:tc>
          <w:tcPr>
            <w:tcW w:w="1700" w:type="dxa"/>
            <w:tcBorders>
              <w:top w:val="single" w:color="000000" w:sz="2" w:space="0"/>
              <w:left w:val="single" w:color="000000" w:sz="2" w:space="0"/>
              <w:bottom w:val="nil"/>
              <w:right w:val="single" w:color="000000" w:sz="2" w:space="0"/>
            </w:tcBorders>
            <w:vAlign w:val="center"/>
          </w:tcPr>
          <w:p w14:paraId="5EA663C9">
            <w:pPr>
              <w:jc w:val="center"/>
            </w:pPr>
            <w:r>
              <w:t>0.045</w:t>
            </w:r>
          </w:p>
        </w:tc>
        <w:tc>
          <w:tcPr>
            <w:tcW w:w="1512" w:type="dxa"/>
            <w:tcBorders>
              <w:top w:val="single" w:color="000000" w:sz="2" w:space="0"/>
              <w:left w:val="single" w:color="000000" w:sz="2" w:space="0"/>
              <w:bottom w:val="nil"/>
              <w:right w:val="single" w:color="000000" w:sz="2" w:space="0"/>
            </w:tcBorders>
            <w:vAlign w:val="center"/>
          </w:tcPr>
          <w:p w14:paraId="304EFC99">
            <w:pPr>
              <w:jc w:val="center"/>
            </w:pPr>
            <w:r>
              <w:t>0.544</w:t>
            </w:r>
          </w:p>
        </w:tc>
        <w:tc>
          <w:tcPr>
            <w:tcW w:w="1671" w:type="dxa"/>
            <w:tcBorders>
              <w:top w:val="single" w:color="000000" w:sz="2" w:space="0"/>
              <w:left w:val="single" w:color="000000" w:sz="2" w:space="0"/>
              <w:bottom w:val="nil"/>
              <w:right w:val="single" w:color="000000" w:sz="2" w:space="0"/>
            </w:tcBorders>
            <w:vAlign w:val="center"/>
          </w:tcPr>
          <w:p w14:paraId="613D469B">
            <w:pPr>
              <w:jc w:val="center"/>
            </w:pPr>
            <w:r>
              <w:t>0.566</w:t>
            </w:r>
          </w:p>
        </w:tc>
      </w:tr>
      <w:tr w14:paraId="227DDB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0" w:hRule="atLeast"/>
        </w:trPr>
        <w:tc>
          <w:tcPr>
            <w:tcW w:w="1373" w:type="dxa"/>
            <w:tcBorders>
              <w:top w:val="nil"/>
              <w:left w:val="single" w:color="000000" w:sz="2" w:space="0"/>
              <w:bottom w:val="nil"/>
              <w:right w:val="single" w:color="000000" w:sz="2" w:space="0"/>
            </w:tcBorders>
            <w:vAlign w:val="center"/>
          </w:tcPr>
          <w:p w14:paraId="261D0D5F">
            <w:pPr>
              <w:jc w:val="center"/>
            </w:pPr>
            <w:r>
              <w:t>0.560</w:t>
            </w:r>
          </w:p>
        </w:tc>
        <w:tc>
          <w:tcPr>
            <w:tcW w:w="1403" w:type="dxa"/>
            <w:tcBorders>
              <w:top w:val="nil"/>
              <w:left w:val="single" w:color="000000" w:sz="2" w:space="0"/>
              <w:bottom w:val="nil"/>
              <w:right w:val="single" w:color="000000" w:sz="2" w:space="0"/>
            </w:tcBorders>
            <w:vAlign w:val="center"/>
          </w:tcPr>
          <w:p w14:paraId="4396AA09">
            <w:pPr>
              <w:jc w:val="center"/>
            </w:pPr>
            <w:r>
              <w:t>0.006</w:t>
            </w:r>
          </w:p>
        </w:tc>
        <w:tc>
          <w:tcPr>
            <w:tcW w:w="1400" w:type="dxa"/>
            <w:tcBorders>
              <w:top w:val="nil"/>
              <w:left w:val="single" w:color="000000" w:sz="2" w:space="0"/>
              <w:bottom w:val="nil"/>
              <w:right w:val="single" w:color="000000" w:sz="2" w:space="0"/>
            </w:tcBorders>
            <w:vAlign w:val="center"/>
          </w:tcPr>
          <w:p w14:paraId="060601C6">
            <w:pPr>
              <w:jc w:val="center"/>
            </w:pPr>
            <w:r>
              <w:t>0.025</w:t>
            </w:r>
          </w:p>
        </w:tc>
        <w:tc>
          <w:tcPr>
            <w:tcW w:w="1700" w:type="dxa"/>
            <w:tcBorders>
              <w:top w:val="nil"/>
              <w:left w:val="single" w:color="000000" w:sz="2" w:space="0"/>
              <w:bottom w:val="nil"/>
              <w:right w:val="single" w:color="000000" w:sz="2" w:space="0"/>
            </w:tcBorders>
            <w:vAlign w:val="center"/>
          </w:tcPr>
          <w:p w14:paraId="2F7ECEFD">
            <w:pPr>
              <w:jc w:val="center"/>
            </w:pPr>
            <w:r>
              <w:t>0.047</w:t>
            </w:r>
          </w:p>
        </w:tc>
        <w:tc>
          <w:tcPr>
            <w:tcW w:w="1512" w:type="dxa"/>
            <w:tcBorders>
              <w:top w:val="nil"/>
              <w:left w:val="single" w:color="000000" w:sz="2" w:space="0"/>
              <w:bottom w:val="nil"/>
              <w:right w:val="single" w:color="000000" w:sz="2" w:space="0"/>
            </w:tcBorders>
            <w:vAlign w:val="center"/>
          </w:tcPr>
          <w:p w14:paraId="2ED79362">
            <w:pPr>
              <w:jc w:val="center"/>
            </w:pPr>
            <w:r>
              <w:t>0.606</w:t>
            </w:r>
          </w:p>
        </w:tc>
        <w:tc>
          <w:tcPr>
            <w:tcW w:w="1671" w:type="dxa"/>
            <w:tcBorders>
              <w:top w:val="nil"/>
              <w:left w:val="single" w:color="000000" w:sz="2" w:space="0"/>
              <w:bottom w:val="nil"/>
              <w:right w:val="single" w:color="000000" w:sz="2" w:space="0"/>
            </w:tcBorders>
            <w:vAlign w:val="center"/>
          </w:tcPr>
          <w:p w14:paraId="1F3DD76B">
            <w:pPr>
              <w:jc w:val="center"/>
            </w:pPr>
            <w:r>
              <w:t>0.630</w:t>
            </w:r>
          </w:p>
        </w:tc>
      </w:tr>
      <w:tr w14:paraId="126A3F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0" w:hRule="atLeast"/>
        </w:trPr>
        <w:tc>
          <w:tcPr>
            <w:tcW w:w="1373" w:type="dxa"/>
            <w:tcBorders>
              <w:top w:val="nil"/>
              <w:left w:val="single" w:color="000000" w:sz="2" w:space="0"/>
              <w:bottom w:val="nil"/>
              <w:right w:val="single" w:color="000000" w:sz="2" w:space="0"/>
            </w:tcBorders>
            <w:vAlign w:val="center"/>
          </w:tcPr>
          <w:p w14:paraId="516A9B1D">
            <w:pPr>
              <w:jc w:val="center"/>
            </w:pPr>
            <w:r>
              <w:t>0.630</w:t>
            </w:r>
          </w:p>
        </w:tc>
        <w:tc>
          <w:tcPr>
            <w:tcW w:w="1403" w:type="dxa"/>
            <w:tcBorders>
              <w:top w:val="nil"/>
              <w:left w:val="single" w:color="000000" w:sz="2" w:space="0"/>
              <w:bottom w:val="nil"/>
              <w:right w:val="single" w:color="000000" w:sz="2" w:space="0"/>
            </w:tcBorders>
            <w:vAlign w:val="center"/>
          </w:tcPr>
          <w:p w14:paraId="01CD9216">
            <w:pPr>
              <w:jc w:val="center"/>
            </w:pPr>
            <w:r>
              <w:t>0.006</w:t>
            </w:r>
          </w:p>
        </w:tc>
        <w:tc>
          <w:tcPr>
            <w:tcW w:w="1400" w:type="dxa"/>
            <w:tcBorders>
              <w:top w:val="nil"/>
              <w:left w:val="single" w:color="000000" w:sz="2" w:space="0"/>
              <w:bottom w:val="nil"/>
              <w:right w:val="single" w:color="000000" w:sz="2" w:space="0"/>
            </w:tcBorders>
            <w:vAlign w:val="center"/>
          </w:tcPr>
          <w:p w14:paraId="466A14B5">
            <w:pPr>
              <w:jc w:val="center"/>
            </w:pPr>
            <w:r>
              <w:t>0.027</w:t>
            </w:r>
          </w:p>
        </w:tc>
        <w:tc>
          <w:tcPr>
            <w:tcW w:w="1700" w:type="dxa"/>
            <w:tcBorders>
              <w:top w:val="nil"/>
              <w:left w:val="single" w:color="000000" w:sz="2" w:space="0"/>
              <w:bottom w:val="nil"/>
              <w:right w:val="single" w:color="000000" w:sz="2" w:space="0"/>
            </w:tcBorders>
            <w:vAlign w:val="center"/>
          </w:tcPr>
          <w:p w14:paraId="6EA93EDE">
            <w:pPr>
              <w:jc w:val="center"/>
            </w:pPr>
            <w:r>
              <w:t>0.050</w:t>
            </w:r>
          </w:p>
        </w:tc>
        <w:tc>
          <w:tcPr>
            <w:tcW w:w="1512" w:type="dxa"/>
            <w:tcBorders>
              <w:top w:val="nil"/>
              <w:left w:val="single" w:color="000000" w:sz="2" w:space="0"/>
              <w:bottom w:val="nil"/>
              <w:right w:val="single" w:color="000000" w:sz="2" w:space="0"/>
            </w:tcBorders>
            <w:vAlign w:val="center"/>
          </w:tcPr>
          <w:p w14:paraId="6DDDB6B1">
            <w:pPr>
              <w:jc w:val="center"/>
            </w:pPr>
            <w:r>
              <w:t>0.679</w:t>
            </w:r>
          </w:p>
        </w:tc>
        <w:tc>
          <w:tcPr>
            <w:tcW w:w="1671" w:type="dxa"/>
            <w:tcBorders>
              <w:top w:val="nil"/>
              <w:left w:val="single" w:color="000000" w:sz="2" w:space="0"/>
              <w:bottom w:val="nil"/>
              <w:right w:val="single" w:color="000000" w:sz="2" w:space="0"/>
            </w:tcBorders>
            <w:vAlign w:val="center"/>
          </w:tcPr>
          <w:p w14:paraId="6DB6A1CE">
            <w:pPr>
              <w:jc w:val="center"/>
            </w:pPr>
            <w:r>
              <w:t>0.704</w:t>
            </w:r>
          </w:p>
        </w:tc>
      </w:tr>
      <w:tr w14:paraId="31A50D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0" w:hRule="atLeast"/>
        </w:trPr>
        <w:tc>
          <w:tcPr>
            <w:tcW w:w="1373" w:type="dxa"/>
            <w:tcBorders>
              <w:top w:val="nil"/>
              <w:left w:val="single" w:color="000000" w:sz="2" w:space="0"/>
              <w:bottom w:val="nil"/>
              <w:right w:val="single" w:color="000000" w:sz="2" w:space="0"/>
            </w:tcBorders>
            <w:vAlign w:val="center"/>
          </w:tcPr>
          <w:p w14:paraId="1109EF0B">
            <w:pPr>
              <w:jc w:val="center"/>
            </w:pPr>
            <w:r>
              <w:t>0.710</w:t>
            </w:r>
          </w:p>
        </w:tc>
        <w:tc>
          <w:tcPr>
            <w:tcW w:w="1403" w:type="dxa"/>
            <w:tcBorders>
              <w:top w:val="nil"/>
              <w:left w:val="single" w:color="000000" w:sz="2" w:space="0"/>
              <w:bottom w:val="nil"/>
              <w:right w:val="single" w:color="000000" w:sz="2" w:space="0"/>
            </w:tcBorders>
            <w:vAlign w:val="center"/>
          </w:tcPr>
          <w:p w14:paraId="45243C95">
            <w:pPr>
              <w:jc w:val="center"/>
            </w:pPr>
            <w:r>
              <w:t>0.007</w:t>
            </w:r>
          </w:p>
        </w:tc>
        <w:tc>
          <w:tcPr>
            <w:tcW w:w="1400" w:type="dxa"/>
            <w:tcBorders>
              <w:top w:val="nil"/>
              <w:left w:val="single" w:color="000000" w:sz="2" w:space="0"/>
              <w:bottom w:val="nil"/>
              <w:right w:val="single" w:color="000000" w:sz="2" w:space="0"/>
            </w:tcBorders>
            <w:vAlign w:val="center"/>
          </w:tcPr>
          <w:p w14:paraId="1A34F3D4">
            <w:pPr>
              <w:jc w:val="center"/>
            </w:pPr>
            <w:r>
              <w:t>0.028</w:t>
            </w:r>
          </w:p>
        </w:tc>
        <w:tc>
          <w:tcPr>
            <w:tcW w:w="1700" w:type="dxa"/>
            <w:tcBorders>
              <w:top w:val="nil"/>
              <w:left w:val="single" w:color="000000" w:sz="2" w:space="0"/>
              <w:bottom w:val="nil"/>
              <w:right w:val="single" w:color="000000" w:sz="2" w:space="0"/>
            </w:tcBorders>
            <w:vAlign w:val="center"/>
          </w:tcPr>
          <w:p w14:paraId="7C7ABB5E">
            <w:pPr>
              <w:jc w:val="center"/>
            </w:pPr>
            <w:r>
              <w:t>0053</w:t>
            </w:r>
          </w:p>
        </w:tc>
        <w:tc>
          <w:tcPr>
            <w:tcW w:w="1512" w:type="dxa"/>
            <w:tcBorders>
              <w:top w:val="nil"/>
              <w:left w:val="single" w:color="000000" w:sz="2" w:space="0"/>
              <w:bottom w:val="nil"/>
              <w:right w:val="single" w:color="000000" w:sz="2" w:space="0"/>
            </w:tcBorders>
            <w:vAlign w:val="center"/>
          </w:tcPr>
          <w:p w14:paraId="0B72FD90">
            <w:pPr>
              <w:jc w:val="center"/>
            </w:pPr>
            <w:r>
              <w:t>0.762</w:t>
            </w:r>
          </w:p>
        </w:tc>
        <w:tc>
          <w:tcPr>
            <w:tcW w:w="1671" w:type="dxa"/>
            <w:tcBorders>
              <w:top w:val="nil"/>
              <w:left w:val="single" w:color="000000" w:sz="2" w:space="0"/>
              <w:bottom w:val="nil"/>
              <w:right w:val="single" w:color="000000" w:sz="2" w:space="0"/>
            </w:tcBorders>
            <w:vAlign w:val="center"/>
          </w:tcPr>
          <w:p w14:paraId="55762CE4">
            <w:pPr>
              <w:jc w:val="center"/>
            </w:pPr>
            <w:r>
              <w:t>0.789</w:t>
            </w:r>
          </w:p>
        </w:tc>
      </w:tr>
      <w:tr w14:paraId="5FE535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4" w:hRule="atLeast"/>
        </w:trPr>
        <w:tc>
          <w:tcPr>
            <w:tcW w:w="1373" w:type="dxa"/>
            <w:tcBorders>
              <w:top w:val="nil"/>
              <w:left w:val="single" w:color="000000" w:sz="2" w:space="0"/>
              <w:bottom w:val="nil"/>
              <w:right w:val="single" w:color="000000" w:sz="2" w:space="0"/>
            </w:tcBorders>
            <w:vAlign w:val="center"/>
          </w:tcPr>
          <w:p w14:paraId="240E7B2A">
            <w:pPr>
              <w:jc w:val="center"/>
            </w:pPr>
            <w:r>
              <w:t>0.800</w:t>
            </w:r>
          </w:p>
        </w:tc>
        <w:tc>
          <w:tcPr>
            <w:tcW w:w="1403" w:type="dxa"/>
            <w:tcBorders>
              <w:top w:val="nil"/>
              <w:left w:val="single" w:color="000000" w:sz="2" w:space="0"/>
              <w:bottom w:val="nil"/>
              <w:right w:val="single" w:color="000000" w:sz="2" w:space="0"/>
            </w:tcBorders>
            <w:vAlign w:val="center"/>
          </w:tcPr>
          <w:p w14:paraId="5A97B500">
            <w:pPr>
              <w:jc w:val="center"/>
            </w:pPr>
            <w:r>
              <w:t>0.008</w:t>
            </w:r>
          </w:p>
        </w:tc>
        <w:tc>
          <w:tcPr>
            <w:tcW w:w="1400" w:type="dxa"/>
            <w:tcBorders>
              <w:top w:val="nil"/>
              <w:left w:val="single" w:color="000000" w:sz="2" w:space="0"/>
              <w:bottom w:val="nil"/>
              <w:right w:val="single" w:color="000000" w:sz="2" w:space="0"/>
            </w:tcBorders>
            <w:vAlign w:val="center"/>
          </w:tcPr>
          <w:p w14:paraId="0907AA6E">
            <w:pPr>
              <w:jc w:val="center"/>
            </w:pPr>
            <w:r>
              <w:t>0.030</w:t>
            </w:r>
          </w:p>
        </w:tc>
        <w:tc>
          <w:tcPr>
            <w:tcW w:w="1700" w:type="dxa"/>
            <w:tcBorders>
              <w:top w:val="nil"/>
              <w:left w:val="single" w:color="000000" w:sz="2" w:space="0"/>
              <w:bottom w:val="nil"/>
              <w:right w:val="single" w:color="000000" w:sz="2" w:space="0"/>
            </w:tcBorders>
            <w:vAlign w:val="center"/>
          </w:tcPr>
          <w:p w14:paraId="0621E0E2">
            <w:pPr>
              <w:jc w:val="center"/>
            </w:pPr>
            <w:r>
              <w:t>0.056</w:t>
            </w:r>
          </w:p>
        </w:tc>
        <w:tc>
          <w:tcPr>
            <w:tcW w:w="1512" w:type="dxa"/>
            <w:tcBorders>
              <w:top w:val="nil"/>
              <w:left w:val="single" w:color="000000" w:sz="2" w:space="0"/>
              <w:bottom w:val="nil"/>
              <w:right w:val="single" w:color="000000" w:sz="2" w:space="0"/>
            </w:tcBorders>
            <w:vAlign w:val="center"/>
          </w:tcPr>
          <w:p w14:paraId="5CBCE3F0">
            <w:pPr>
              <w:jc w:val="center"/>
            </w:pPr>
            <w:r>
              <w:t>0.855</w:t>
            </w:r>
          </w:p>
        </w:tc>
        <w:tc>
          <w:tcPr>
            <w:tcW w:w="1671" w:type="dxa"/>
            <w:tcBorders>
              <w:top w:val="nil"/>
              <w:left w:val="single" w:color="000000" w:sz="2" w:space="0"/>
              <w:bottom w:val="nil"/>
              <w:right w:val="single" w:color="000000" w:sz="2" w:space="0"/>
            </w:tcBorders>
            <w:vAlign w:val="center"/>
          </w:tcPr>
          <w:p w14:paraId="558163F9">
            <w:pPr>
              <w:jc w:val="center"/>
            </w:pPr>
            <w:r>
              <w:t>0.884</w:t>
            </w:r>
          </w:p>
        </w:tc>
      </w:tr>
      <w:tr w14:paraId="70FA9F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95" w:hRule="atLeast"/>
        </w:trPr>
        <w:tc>
          <w:tcPr>
            <w:tcW w:w="1373" w:type="dxa"/>
            <w:tcBorders>
              <w:top w:val="nil"/>
              <w:left w:val="single" w:color="000000" w:sz="2" w:space="0"/>
              <w:bottom w:val="nil"/>
              <w:right w:val="single" w:color="000000" w:sz="2" w:space="0"/>
            </w:tcBorders>
            <w:vAlign w:val="center"/>
          </w:tcPr>
          <w:p w14:paraId="77548E96">
            <w:pPr>
              <w:jc w:val="center"/>
            </w:pPr>
            <w:r>
              <w:t>0.900</w:t>
            </w:r>
          </w:p>
        </w:tc>
        <w:tc>
          <w:tcPr>
            <w:tcW w:w="1403" w:type="dxa"/>
            <w:tcBorders>
              <w:top w:val="nil"/>
              <w:left w:val="single" w:color="000000" w:sz="2" w:space="0"/>
              <w:bottom w:val="nil"/>
              <w:right w:val="single" w:color="000000" w:sz="2" w:space="0"/>
            </w:tcBorders>
            <w:vAlign w:val="center"/>
          </w:tcPr>
          <w:p w14:paraId="01EEF75F">
            <w:pPr>
              <w:jc w:val="center"/>
            </w:pPr>
            <w:r>
              <w:t>0.009</w:t>
            </w:r>
          </w:p>
        </w:tc>
        <w:tc>
          <w:tcPr>
            <w:tcW w:w="1400" w:type="dxa"/>
            <w:tcBorders>
              <w:top w:val="nil"/>
              <w:left w:val="single" w:color="000000" w:sz="2" w:space="0"/>
              <w:bottom w:val="nil"/>
              <w:right w:val="single" w:color="000000" w:sz="2" w:space="0"/>
            </w:tcBorders>
            <w:vAlign w:val="center"/>
          </w:tcPr>
          <w:p w14:paraId="4794BA1F">
            <w:pPr>
              <w:jc w:val="center"/>
            </w:pPr>
            <w:r>
              <w:t>0.032</w:t>
            </w:r>
          </w:p>
        </w:tc>
        <w:tc>
          <w:tcPr>
            <w:tcW w:w="1700" w:type="dxa"/>
            <w:tcBorders>
              <w:top w:val="nil"/>
              <w:left w:val="single" w:color="000000" w:sz="2" w:space="0"/>
              <w:bottom w:val="nil"/>
              <w:right w:val="single" w:color="000000" w:sz="2" w:space="0"/>
            </w:tcBorders>
            <w:vAlign w:val="center"/>
          </w:tcPr>
          <w:p w14:paraId="2FB52376">
            <w:pPr>
              <w:jc w:val="center"/>
            </w:pPr>
            <w:r>
              <w:t>0.060</w:t>
            </w:r>
          </w:p>
        </w:tc>
        <w:tc>
          <w:tcPr>
            <w:tcW w:w="1512" w:type="dxa"/>
            <w:tcBorders>
              <w:top w:val="nil"/>
              <w:left w:val="single" w:color="000000" w:sz="2" w:space="0"/>
              <w:bottom w:val="nil"/>
              <w:right w:val="single" w:color="000000" w:sz="2" w:space="0"/>
            </w:tcBorders>
            <w:vAlign w:val="center"/>
          </w:tcPr>
          <w:p w14:paraId="531E3B6F">
            <w:pPr>
              <w:jc w:val="center"/>
            </w:pPr>
            <w:r>
              <w:t>0.959</w:t>
            </w:r>
          </w:p>
        </w:tc>
        <w:tc>
          <w:tcPr>
            <w:tcW w:w="1671" w:type="dxa"/>
            <w:tcBorders>
              <w:top w:val="nil"/>
              <w:left w:val="single" w:color="000000" w:sz="2" w:space="0"/>
              <w:bottom w:val="nil"/>
              <w:right w:val="single" w:color="000000" w:sz="2" w:space="0"/>
            </w:tcBorders>
            <w:vAlign w:val="center"/>
          </w:tcPr>
          <w:p w14:paraId="49DAFBCC">
            <w:pPr>
              <w:jc w:val="center"/>
            </w:pPr>
            <w:r>
              <w:t>0.989</w:t>
            </w:r>
          </w:p>
        </w:tc>
      </w:tr>
      <w:tr w14:paraId="5E4C44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0" w:hRule="atLeast"/>
        </w:trPr>
        <w:tc>
          <w:tcPr>
            <w:tcW w:w="1373" w:type="dxa"/>
            <w:tcBorders>
              <w:top w:val="nil"/>
              <w:left w:val="single" w:color="000000" w:sz="2" w:space="0"/>
              <w:bottom w:val="nil"/>
              <w:right w:val="single" w:color="000000" w:sz="2" w:space="0"/>
            </w:tcBorders>
            <w:vAlign w:val="center"/>
          </w:tcPr>
          <w:p w14:paraId="59BB0694">
            <w:pPr>
              <w:jc w:val="center"/>
            </w:pPr>
            <w:r>
              <w:t>1.000</w:t>
            </w:r>
          </w:p>
        </w:tc>
        <w:tc>
          <w:tcPr>
            <w:tcW w:w="1403" w:type="dxa"/>
            <w:tcBorders>
              <w:top w:val="nil"/>
              <w:left w:val="single" w:color="000000" w:sz="2" w:space="0"/>
              <w:bottom w:val="nil"/>
              <w:right w:val="single" w:color="000000" w:sz="2" w:space="0"/>
            </w:tcBorders>
            <w:vAlign w:val="center"/>
          </w:tcPr>
          <w:p w14:paraId="76F83082">
            <w:pPr>
              <w:jc w:val="center"/>
            </w:pPr>
            <w:r>
              <w:t>0.010</w:t>
            </w:r>
          </w:p>
        </w:tc>
        <w:tc>
          <w:tcPr>
            <w:tcW w:w="1400" w:type="dxa"/>
            <w:tcBorders>
              <w:top w:val="nil"/>
              <w:left w:val="single" w:color="000000" w:sz="2" w:space="0"/>
              <w:bottom w:val="nil"/>
              <w:right w:val="single" w:color="000000" w:sz="2" w:space="0"/>
            </w:tcBorders>
            <w:vAlign w:val="center"/>
          </w:tcPr>
          <w:p w14:paraId="2A69D5C7">
            <w:pPr>
              <w:jc w:val="center"/>
            </w:pPr>
            <w:r>
              <w:t>0.034</w:t>
            </w:r>
          </w:p>
        </w:tc>
        <w:tc>
          <w:tcPr>
            <w:tcW w:w="1700" w:type="dxa"/>
            <w:tcBorders>
              <w:top w:val="nil"/>
              <w:left w:val="single" w:color="000000" w:sz="2" w:space="0"/>
              <w:bottom w:val="nil"/>
              <w:right w:val="single" w:color="000000" w:sz="2" w:space="0"/>
            </w:tcBorders>
            <w:vAlign w:val="center"/>
          </w:tcPr>
          <w:p w14:paraId="393AF229">
            <w:pPr>
              <w:jc w:val="center"/>
            </w:pPr>
            <w:r>
              <w:t>0.063</w:t>
            </w:r>
          </w:p>
        </w:tc>
        <w:tc>
          <w:tcPr>
            <w:tcW w:w="1512" w:type="dxa"/>
            <w:tcBorders>
              <w:top w:val="nil"/>
              <w:left w:val="single" w:color="000000" w:sz="2" w:space="0"/>
              <w:bottom w:val="nil"/>
              <w:right w:val="single" w:color="000000" w:sz="2" w:space="0"/>
            </w:tcBorders>
            <w:vAlign w:val="center"/>
          </w:tcPr>
          <w:p w14:paraId="2568D195">
            <w:pPr>
              <w:jc w:val="center"/>
            </w:pPr>
            <w:r>
              <w:t>1.062</w:t>
            </w:r>
          </w:p>
        </w:tc>
        <w:tc>
          <w:tcPr>
            <w:tcW w:w="1671" w:type="dxa"/>
            <w:tcBorders>
              <w:top w:val="nil"/>
              <w:left w:val="single" w:color="000000" w:sz="2" w:space="0"/>
              <w:bottom w:val="nil"/>
              <w:right w:val="single" w:color="000000" w:sz="2" w:space="0"/>
            </w:tcBorders>
            <w:vAlign w:val="center"/>
          </w:tcPr>
          <w:p w14:paraId="413D0DEE">
            <w:pPr>
              <w:jc w:val="center"/>
            </w:pPr>
            <w:r>
              <w:t>1.094</w:t>
            </w:r>
          </w:p>
        </w:tc>
      </w:tr>
      <w:tr w14:paraId="609A19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0" w:hRule="atLeast"/>
        </w:trPr>
        <w:tc>
          <w:tcPr>
            <w:tcW w:w="1373" w:type="dxa"/>
            <w:tcBorders>
              <w:top w:val="nil"/>
              <w:left w:val="single" w:color="000000" w:sz="2" w:space="0"/>
              <w:bottom w:val="nil"/>
              <w:right w:val="single" w:color="000000" w:sz="2" w:space="0"/>
            </w:tcBorders>
            <w:vAlign w:val="center"/>
          </w:tcPr>
          <w:p w14:paraId="2EE3D89E">
            <w:pPr>
              <w:jc w:val="center"/>
            </w:pPr>
            <w:r>
              <w:t>1.120</w:t>
            </w:r>
          </w:p>
        </w:tc>
        <w:tc>
          <w:tcPr>
            <w:tcW w:w="1403" w:type="dxa"/>
            <w:tcBorders>
              <w:top w:val="nil"/>
              <w:left w:val="single" w:color="000000" w:sz="2" w:space="0"/>
              <w:bottom w:val="nil"/>
              <w:right w:val="single" w:color="000000" w:sz="2" w:space="0"/>
            </w:tcBorders>
            <w:vAlign w:val="center"/>
          </w:tcPr>
          <w:p w14:paraId="75F9FF29">
            <w:pPr>
              <w:jc w:val="center"/>
            </w:pPr>
            <w:r>
              <w:t>0.011</w:t>
            </w:r>
          </w:p>
        </w:tc>
        <w:tc>
          <w:tcPr>
            <w:tcW w:w="1400" w:type="dxa"/>
            <w:tcBorders>
              <w:top w:val="nil"/>
              <w:left w:val="single" w:color="000000" w:sz="2" w:space="0"/>
              <w:bottom w:val="nil"/>
              <w:right w:val="single" w:color="000000" w:sz="2" w:space="0"/>
            </w:tcBorders>
            <w:vAlign w:val="center"/>
          </w:tcPr>
          <w:p w14:paraId="12BEB8F7">
            <w:pPr>
              <w:jc w:val="center"/>
            </w:pPr>
            <w:r>
              <w:t>0.034</w:t>
            </w:r>
          </w:p>
        </w:tc>
        <w:tc>
          <w:tcPr>
            <w:tcW w:w="1700" w:type="dxa"/>
            <w:tcBorders>
              <w:top w:val="nil"/>
              <w:left w:val="single" w:color="000000" w:sz="2" w:space="0"/>
              <w:bottom w:val="nil"/>
              <w:right w:val="single" w:color="000000" w:sz="2" w:space="0"/>
            </w:tcBorders>
            <w:vAlign w:val="center"/>
          </w:tcPr>
          <w:p w14:paraId="39CA92F4">
            <w:pPr>
              <w:jc w:val="center"/>
            </w:pPr>
            <w:r>
              <w:t>0.065</w:t>
            </w:r>
          </w:p>
        </w:tc>
        <w:tc>
          <w:tcPr>
            <w:tcW w:w="1512" w:type="dxa"/>
            <w:tcBorders>
              <w:top w:val="nil"/>
              <w:left w:val="single" w:color="000000" w:sz="2" w:space="0"/>
              <w:bottom w:val="nil"/>
              <w:right w:val="single" w:color="000000" w:sz="2" w:space="0"/>
            </w:tcBorders>
            <w:vAlign w:val="center"/>
          </w:tcPr>
          <w:p w14:paraId="2B746F76">
            <w:pPr>
              <w:jc w:val="center"/>
            </w:pPr>
            <w:r>
              <w:t>1.184</w:t>
            </w:r>
          </w:p>
        </w:tc>
        <w:tc>
          <w:tcPr>
            <w:tcW w:w="1671" w:type="dxa"/>
            <w:tcBorders>
              <w:top w:val="nil"/>
              <w:left w:val="single" w:color="000000" w:sz="2" w:space="0"/>
              <w:bottom w:val="nil"/>
              <w:right w:val="single" w:color="000000" w:sz="2" w:space="0"/>
            </w:tcBorders>
            <w:vAlign w:val="center"/>
          </w:tcPr>
          <w:p w14:paraId="2CE4CD06">
            <w:pPr>
              <w:jc w:val="center"/>
            </w:pPr>
            <w:r>
              <w:t>1.217</w:t>
            </w:r>
          </w:p>
        </w:tc>
      </w:tr>
      <w:tr w14:paraId="6926B8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0" w:hRule="atLeast"/>
        </w:trPr>
        <w:tc>
          <w:tcPr>
            <w:tcW w:w="1373" w:type="dxa"/>
            <w:tcBorders>
              <w:top w:val="nil"/>
              <w:left w:val="single" w:color="000000" w:sz="2" w:space="0"/>
              <w:bottom w:val="nil"/>
              <w:right w:val="single" w:color="000000" w:sz="2" w:space="0"/>
            </w:tcBorders>
            <w:vAlign w:val="center"/>
          </w:tcPr>
          <w:p w14:paraId="12DB9C6C">
            <w:pPr>
              <w:jc w:val="center"/>
            </w:pPr>
            <w:r>
              <w:t>1.250</w:t>
            </w:r>
          </w:p>
        </w:tc>
        <w:tc>
          <w:tcPr>
            <w:tcW w:w="1403" w:type="dxa"/>
            <w:tcBorders>
              <w:top w:val="nil"/>
              <w:left w:val="single" w:color="000000" w:sz="2" w:space="0"/>
              <w:bottom w:val="nil"/>
              <w:right w:val="single" w:color="000000" w:sz="2" w:space="0"/>
            </w:tcBorders>
            <w:vAlign w:val="center"/>
          </w:tcPr>
          <w:p w14:paraId="0E0C8665">
            <w:pPr>
              <w:jc w:val="center"/>
            </w:pPr>
            <w:r>
              <w:t>0.013</w:t>
            </w:r>
          </w:p>
        </w:tc>
        <w:tc>
          <w:tcPr>
            <w:tcW w:w="1400" w:type="dxa"/>
            <w:tcBorders>
              <w:top w:val="nil"/>
              <w:left w:val="single" w:color="000000" w:sz="2" w:space="0"/>
              <w:bottom w:val="nil"/>
              <w:right w:val="single" w:color="000000" w:sz="2" w:space="0"/>
            </w:tcBorders>
            <w:vAlign w:val="center"/>
          </w:tcPr>
          <w:p w14:paraId="118C9C26">
            <w:pPr>
              <w:jc w:val="center"/>
            </w:pPr>
            <w:r>
              <w:t>0.035</w:t>
            </w:r>
          </w:p>
        </w:tc>
        <w:tc>
          <w:tcPr>
            <w:tcW w:w="1700" w:type="dxa"/>
            <w:tcBorders>
              <w:top w:val="nil"/>
              <w:left w:val="single" w:color="000000" w:sz="2" w:space="0"/>
              <w:bottom w:val="nil"/>
              <w:right w:val="single" w:color="000000" w:sz="2" w:space="0"/>
            </w:tcBorders>
            <w:vAlign w:val="center"/>
          </w:tcPr>
          <w:p w14:paraId="5A4F0DE8">
            <w:pPr>
              <w:jc w:val="center"/>
            </w:pPr>
            <w:r>
              <w:t>0.067</w:t>
            </w:r>
          </w:p>
        </w:tc>
        <w:tc>
          <w:tcPr>
            <w:tcW w:w="1512" w:type="dxa"/>
            <w:tcBorders>
              <w:top w:val="nil"/>
              <w:left w:val="single" w:color="000000" w:sz="2" w:space="0"/>
              <w:bottom w:val="nil"/>
              <w:right w:val="single" w:color="000000" w:sz="2" w:space="0"/>
            </w:tcBorders>
            <w:vAlign w:val="center"/>
          </w:tcPr>
          <w:p w14:paraId="25D56EA6">
            <w:pPr>
              <w:jc w:val="center"/>
            </w:pPr>
            <w:r>
              <w:t>1.316</w:t>
            </w:r>
          </w:p>
        </w:tc>
        <w:tc>
          <w:tcPr>
            <w:tcW w:w="1671" w:type="dxa"/>
            <w:tcBorders>
              <w:top w:val="nil"/>
              <w:left w:val="single" w:color="000000" w:sz="2" w:space="0"/>
              <w:bottom w:val="nil"/>
              <w:right w:val="single" w:color="000000" w:sz="2" w:space="0"/>
            </w:tcBorders>
            <w:vAlign w:val="center"/>
          </w:tcPr>
          <w:p w14:paraId="0802A954">
            <w:pPr>
              <w:jc w:val="center"/>
            </w:pPr>
            <w:r>
              <w:t>1.349</w:t>
            </w:r>
          </w:p>
        </w:tc>
      </w:tr>
      <w:tr w14:paraId="39787D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0" w:hRule="atLeast"/>
        </w:trPr>
        <w:tc>
          <w:tcPr>
            <w:tcW w:w="1373" w:type="dxa"/>
            <w:tcBorders>
              <w:top w:val="nil"/>
              <w:left w:val="single" w:color="000000" w:sz="2" w:space="0"/>
              <w:bottom w:val="nil"/>
              <w:right w:val="single" w:color="000000" w:sz="2" w:space="0"/>
            </w:tcBorders>
            <w:vAlign w:val="center"/>
          </w:tcPr>
          <w:p w14:paraId="0D8F86E1">
            <w:pPr>
              <w:jc w:val="center"/>
            </w:pPr>
            <w:r>
              <w:t>1.400</w:t>
            </w:r>
          </w:p>
        </w:tc>
        <w:tc>
          <w:tcPr>
            <w:tcW w:w="1403" w:type="dxa"/>
            <w:tcBorders>
              <w:top w:val="nil"/>
              <w:left w:val="single" w:color="000000" w:sz="2" w:space="0"/>
              <w:bottom w:val="nil"/>
              <w:right w:val="single" w:color="000000" w:sz="2" w:space="0"/>
            </w:tcBorders>
            <w:vAlign w:val="center"/>
          </w:tcPr>
          <w:p w14:paraId="563611DF">
            <w:pPr>
              <w:jc w:val="center"/>
            </w:pPr>
            <w:r>
              <w:t>0.014</w:t>
            </w:r>
          </w:p>
        </w:tc>
        <w:tc>
          <w:tcPr>
            <w:tcW w:w="1400" w:type="dxa"/>
            <w:tcBorders>
              <w:top w:val="nil"/>
              <w:left w:val="single" w:color="000000" w:sz="2" w:space="0"/>
              <w:bottom w:val="nil"/>
              <w:right w:val="single" w:color="000000" w:sz="2" w:space="0"/>
            </w:tcBorders>
            <w:vAlign w:val="center"/>
          </w:tcPr>
          <w:p w14:paraId="73587153">
            <w:pPr>
              <w:jc w:val="center"/>
            </w:pPr>
            <w:r>
              <w:t>0.036</w:t>
            </w:r>
          </w:p>
        </w:tc>
        <w:tc>
          <w:tcPr>
            <w:tcW w:w="1700" w:type="dxa"/>
            <w:tcBorders>
              <w:top w:val="nil"/>
              <w:left w:val="single" w:color="000000" w:sz="2" w:space="0"/>
              <w:bottom w:val="nil"/>
              <w:right w:val="single" w:color="000000" w:sz="2" w:space="0"/>
            </w:tcBorders>
            <w:vAlign w:val="center"/>
          </w:tcPr>
          <w:p w14:paraId="23006AC6">
            <w:pPr>
              <w:jc w:val="center"/>
            </w:pPr>
            <w:r>
              <w:t>0.069</w:t>
            </w:r>
          </w:p>
        </w:tc>
        <w:tc>
          <w:tcPr>
            <w:tcW w:w="1512" w:type="dxa"/>
            <w:tcBorders>
              <w:top w:val="nil"/>
              <w:left w:val="single" w:color="000000" w:sz="2" w:space="0"/>
              <w:bottom w:val="nil"/>
              <w:right w:val="single" w:color="000000" w:sz="2" w:space="0"/>
            </w:tcBorders>
            <w:vAlign w:val="center"/>
          </w:tcPr>
          <w:p w14:paraId="620CFDE0">
            <w:pPr>
              <w:jc w:val="center"/>
            </w:pPr>
            <w:r>
              <w:t>1.468</w:t>
            </w:r>
          </w:p>
        </w:tc>
        <w:tc>
          <w:tcPr>
            <w:tcW w:w="1671" w:type="dxa"/>
            <w:tcBorders>
              <w:top w:val="nil"/>
              <w:left w:val="single" w:color="000000" w:sz="2" w:space="0"/>
              <w:bottom w:val="nil"/>
              <w:right w:val="single" w:color="000000" w:sz="2" w:space="0"/>
            </w:tcBorders>
            <w:vAlign w:val="center"/>
          </w:tcPr>
          <w:p w14:paraId="27747350">
            <w:pPr>
              <w:jc w:val="center"/>
            </w:pPr>
            <w:r>
              <w:t>1.502</w:t>
            </w:r>
          </w:p>
        </w:tc>
      </w:tr>
      <w:tr w14:paraId="53F9A9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0" w:hRule="atLeast"/>
        </w:trPr>
        <w:tc>
          <w:tcPr>
            <w:tcW w:w="1373" w:type="dxa"/>
            <w:tcBorders>
              <w:top w:val="nil"/>
              <w:left w:val="single" w:color="000000" w:sz="2" w:space="0"/>
              <w:bottom w:val="nil"/>
              <w:right w:val="single" w:color="000000" w:sz="2" w:space="0"/>
            </w:tcBorders>
            <w:vAlign w:val="center"/>
          </w:tcPr>
          <w:p w14:paraId="5E85EFAE">
            <w:pPr>
              <w:jc w:val="center"/>
            </w:pPr>
            <w:r>
              <w:t>1.600</w:t>
            </w:r>
          </w:p>
        </w:tc>
        <w:tc>
          <w:tcPr>
            <w:tcW w:w="1403" w:type="dxa"/>
            <w:tcBorders>
              <w:top w:val="nil"/>
              <w:left w:val="single" w:color="000000" w:sz="2" w:space="0"/>
              <w:bottom w:val="nil"/>
              <w:right w:val="single" w:color="000000" w:sz="2" w:space="0"/>
            </w:tcBorders>
            <w:vAlign w:val="center"/>
          </w:tcPr>
          <w:p w14:paraId="5348DCD2">
            <w:pPr>
              <w:jc w:val="center"/>
            </w:pPr>
            <w:r>
              <w:t>0.016</w:t>
            </w:r>
          </w:p>
        </w:tc>
        <w:tc>
          <w:tcPr>
            <w:tcW w:w="1400" w:type="dxa"/>
            <w:tcBorders>
              <w:top w:val="nil"/>
              <w:left w:val="single" w:color="000000" w:sz="2" w:space="0"/>
              <w:bottom w:val="nil"/>
              <w:right w:val="single" w:color="000000" w:sz="2" w:space="0"/>
            </w:tcBorders>
            <w:vAlign w:val="center"/>
          </w:tcPr>
          <w:p w14:paraId="2D4C52BC">
            <w:pPr>
              <w:jc w:val="center"/>
            </w:pPr>
            <w:r>
              <w:t>0.038</w:t>
            </w:r>
          </w:p>
        </w:tc>
        <w:tc>
          <w:tcPr>
            <w:tcW w:w="1700" w:type="dxa"/>
            <w:tcBorders>
              <w:top w:val="nil"/>
              <w:left w:val="single" w:color="000000" w:sz="2" w:space="0"/>
              <w:bottom w:val="nil"/>
              <w:right w:val="single" w:color="000000" w:sz="2" w:space="0"/>
            </w:tcBorders>
            <w:vAlign w:val="center"/>
          </w:tcPr>
          <w:p w14:paraId="640EC618">
            <w:pPr>
              <w:jc w:val="center"/>
            </w:pPr>
            <w:r>
              <w:t>0.071</w:t>
            </w:r>
          </w:p>
        </w:tc>
        <w:tc>
          <w:tcPr>
            <w:tcW w:w="1512" w:type="dxa"/>
            <w:tcBorders>
              <w:top w:val="nil"/>
              <w:left w:val="single" w:color="000000" w:sz="2" w:space="0"/>
              <w:bottom w:val="nil"/>
              <w:right w:val="single" w:color="000000" w:sz="2" w:space="0"/>
            </w:tcBorders>
            <w:vAlign w:val="center"/>
          </w:tcPr>
          <w:p w14:paraId="25D271B8">
            <w:pPr>
              <w:jc w:val="center"/>
            </w:pPr>
            <w:r>
              <w:t>1.67</w:t>
            </w:r>
          </w:p>
        </w:tc>
        <w:tc>
          <w:tcPr>
            <w:tcW w:w="1671" w:type="dxa"/>
            <w:tcBorders>
              <w:top w:val="nil"/>
              <w:left w:val="single" w:color="000000" w:sz="2" w:space="0"/>
              <w:bottom w:val="nil"/>
              <w:right w:val="single" w:color="000000" w:sz="2" w:space="0"/>
            </w:tcBorders>
            <w:vAlign w:val="center"/>
          </w:tcPr>
          <w:p w14:paraId="15616202">
            <w:pPr>
              <w:jc w:val="center"/>
            </w:pPr>
            <w:r>
              <w:t>1.706</w:t>
            </w:r>
          </w:p>
        </w:tc>
      </w:tr>
      <w:tr w14:paraId="0B2F4B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0" w:hRule="atLeast"/>
        </w:trPr>
        <w:tc>
          <w:tcPr>
            <w:tcW w:w="1373" w:type="dxa"/>
            <w:tcBorders>
              <w:top w:val="nil"/>
              <w:left w:val="single" w:color="000000" w:sz="2" w:space="0"/>
              <w:bottom w:val="nil"/>
              <w:right w:val="single" w:color="000000" w:sz="2" w:space="0"/>
            </w:tcBorders>
            <w:vAlign w:val="center"/>
          </w:tcPr>
          <w:p w14:paraId="2BD994D4">
            <w:pPr>
              <w:jc w:val="center"/>
            </w:pPr>
            <w:r>
              <w:t>1.800</w:t>
            </w:r>
          </w:p>
        </w:tc>
        <w:tc>
          <w:tcPr>
            <w:tcW w:w="1403" w:type="dxa"/>
            <w:tcBorders>
              <w:top w:val="nil"/>
              <w:left w:val="single" w:color="000000" w:sz="2" w:space="0"/>
              <w:bottom w:val="nil"/>
              <w:right w:val="single" w:color="000000" w:sz="2" w:space="0"/>
            </w:tcBorders>
            <w:vAlign w:val="center"/>
          </w:tcPr>
          <w:p w14:paraId="552F53F1">
            <w:pPr>
              <w:jc w:val="center"/>
            </w:pPr>
            <w:r>
              <w:t>0.018</w:t>
            </w:r>
          </w:p>
        </w:tc>
        <w:tc>
          <w:tcPr>
            <w:tcW w:w="1400" w:type="dxa"/>
            <w:tcBorders>
              <w:top w:val="nil"/>
              <w:left w:val="single" w:color="000000" w:sz="2" w:space="0"/>
              <w:bottom w:val="nil"/>
              <w:right w:val="single" w:color="000000" w:sz="2" w:space="0"/>
            </w:tcBorders>
            <w:vAlign w:val="center"/>
          </w:tcPr>
          <w:p w14:paraId="13B436F8">
            <w:pPr>
              <w:jc w:val="center"/>
            </w:pPr>
            <w:r>
              <w:t>0.039</w:t>
            </w:r>
          </w:p>
        </w:tc>
        <w:tc>
          <w:tcPr>
            <w:tcW w:w="1700" w:type="dxa"/>
            <w:tcBorders>
              <w:top w:val="nil"/>
              <w:left w:val="single" w:color="000000" w:sz="2" w:space="0"/>
              <w:bottom w:val="nil"/>
              <w:right w:val="single" w:color="000000" w:sz="2" w:space="0"/>
            </w:tcBorders>
            <w:vAlign w:val="center"/>
          </w:tcPr>
          <w:p w14:paraId="03AD8996">
            <w:pPr>
              <w:jc w:val="center"/>
            </w:pPr>
            <w:r>
              <w:t>0.073</w:t>
            </w:r>
          </w:p>
        </w:tc>
        <w:tc>
          <w:tcPr>
            <w:tcW w:w="1512" w:type="dxa"/>
            <w:tcBorders>
              <w:top w:val="nil"/>
              <w:left w:val="single" w:color="000000" w:sz="2" w:space="0"/>
              <w:bottom w:val="nil"/>
              <w:right w:val="single" w:color="000000" w:sz="2" w:space="0"/>
            </w:tcBorders>
            <w:vAlign w:val="center"/>
          </w:tcPr>
          <w:p w14:paraId="3383E987">
            <w:pPr>
              <w:jc w:val="center"/>
            </w:pPr>
            <w:r>
              <w:t>1.872</w:t>
            </w:r>
          </w:p>
        </w:tc>
        <w:tc>
          <w:tcPr>
            <w:tcW w:w="1671" w:type="dxa"/>
            <w:tcBorders>
              <w:top w:val="nil"/>
              <w:left w:val="single" w:color="000000" w:sz="2" w:space="0"/>
              <w:bottom w:val="nil"/>
              <w:right w:val="single" w:color="000000" w:sz="2" w:space="0"/>
            </w:tcBorders>
            <w:vAlign w:val="center"/>
          </w:tcPr>
          <w:p w14:paraId="66A2B60F">
            <w:pPr>
              <w:jc w:val="center"/>
            </w:pPr>
            <w:r>
              <w:t>1.909</w:t>
            </w:r>
          </w:p>
        </w:tc>
      </w:tr>
      <w:tr w14:paraId="588EFD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0" w:hRule="atLeast"/>
        </w:trPr>
        <w:tc>
          <w:tcPr>
            <w:tcW w:w="1373" w:type="dxa"/>
            <w:tcBorders>
              <w:top w:val="nil"/>
              <w:left w:val="single" w:color="000000" w:sz="2" w:space="0"/>
              <w:bottom w:val="nil"/>
              <w:right w:val="single" w:color="000000" w:sz="2" w:space="0"/>
            </w:tcBorders>
            <w:vAlign w:val="center"/>
          </w:tcPr>
          <w:p w14:paraId="306B40E6">
            <w:pPr>
              <w:jc w:val="center"/>
            </w:pPr>
            <w:r>
              <w:t>2.000</w:t>
            </w:r>
          </w:p>
        </w:tc>
        <w:tc>
          <w:tcPr>
            <w:tcW w:w="1403" w:type="dxa"/>
            <w:tcBorders>
              <w:top w:val="nil"/>
              <w:left w:val="single" w:color="000000" w:sz="2" w:space="0"/>
              <w:bottom w:val="nil"/>
              <w:right w:val="single" w:color="000000" w:sz="2" w:space="0"/>
            </w:tcBorders>
            <w:vAlign w:val="center"/>
          </w:tcPr>
          <w:p w14:paraId="1DA572AD">
            <w:pPr>
              <w:jc w:val="center"/>
            </w:pPr>
            <w:r>
              <w:t>0.020</w:t>
            </w:r>
          </w:p>
        </w:tc>
        <w:tc>
          <w:tcPr>
            <w:tcW w:w="1400" w:type="dxa"/>
            <w:tcBorders>
              <w:top w:val="nil"/>
              <w:left w:val="single" w:color="000000" w:sz="2" w:space="0"/>
              <w:bottom w:val="nil"/>
              <w:right w:val="single" w:color="000000" w:sz="2" w:space="0"/>
            </w:tcBorders>
            <w:vAlign w:val="center"/>
          </w:tcPr>
          <w:p w14:paraId="6F2D1662">
            <w:pPr>
              <w:jc w:val="center"/>
            </w:pPr>
            <w:r>
              <w:t>0.040</w:t>
            </w:r>
          </w:p>
        </w:tc>
        <w:tc>
          <w:tcPr>
            <w:tcW w:w="1700" w:type="dxa"/>
            <w:tcBorders>
              <w:top w:val="nil"/>
              <w:left w:val="single" w:color="000000" w:sz="2" w:space="0"/>
              <w:bottom w:val="nil"/>
              <w:right w:val="single" w:color="000000" w:sz="2" w:space="0"/>
            </w:tcBorders>
            <w:vAlign w:val="center"/>
          </w:tcPr>
          <w:p w14:paraId="2FC0AF01">
            <w:pPr>
              <w:jc w:val="center"/>
            </w:pPr>
            <w:r>
              <w:t>0.075</w:t>
            </w:r>
          </w:p>
        </w:tc>
        <w:tc>
          <w:tcPr>
            <w:tcW w:w="1512" w:type="dxa"/>
            <w:tcBorders>
              <w:top w:val="nil"/>
              <w:left w:val="single" w:color="000000" w:sz="2" w:space="0"/>
              <w:bottom w:val="nil"/>
              <w:right w:val="single" w:color="000000" w:sz="2" w:space="0"/>
            </w:tcBorders>
            <w:vAlign w:val="center"/>
          </w:tcPr>
          <w:p w14:paraId="0E068784">
            <w:pPr>
              <w:jc w:val="center"/>
            </w:pPr>
            <w:r>
              <w:t>2.074</w:t>
            </w:r>
          </w:p>
        </w:tc>
        <w:tc>
          <w:tcPr>
            <w:tcW w:w="1671" w:type="dxa"/>
            <w:tcBorders>
              <w:top w:val="nil"/>
              <w:left w:val="single" w:color="000000" w:sz="2" w:space="0"/>
              <w:bottom w:val="nil"/>
              <w:right w:val="single" w:color="000000" w:sz="2" w:space="0"/>
            </w:tcBorders>
            <w:vAlign w:val="center"/>
          </w:tcPr>
          <w:p w14:paraId="2B8997BD">
            <w:pPr>
              <w:jc w:val="center"/>
            </w:pPr>
            <w:r>
              <w:t>2.112</w:t>
            </w:r>
          </w:p>
        </w:tc>
      </w:tr>
      <w:tr w14:paraId="546BC6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0" w:hRule="atLeast"/>
        </w:trPr>
        <w:tc>
          <w:tcPr>
            <w:tcW w:w="1373" w:type="dxa"/>
            <w:tcBorders>
              <w:top w:val="nil"/>
              <w:left w:val="single" w:color="000000" w:sz="2" w:space="0"/>
              <w:bottom w:val="nil"/>
              <w:right w:val="single" w:color="000000" w:sz="2" w:space="0"/>
            </w:tcBorders>
            <w:vAlign w:val="center"/>
          </w:tcPr>
          <w:p w14:paraId="00A9DBFD">
            <w:pPr>
              <w:jc w:val="center"/>
            </w:pPr>
            <w:r>
              <w:t>2.240</w:t>
            </w:r>
          </w:p>
        </w:tc>
        <w:tc>
          <w:tcPr>
            <w:tcW w:w="1403" w:type="dxa"/>
            <w:tcBorders>
              <w:top w:val="nil"/>
              <w:left w:val="single" w:color="000000" w:sz="2" w:space="0"/>
              <w:bottom w:val="nil"/>
              <w:right w:val="single" w:color="000000" w:sz="2" w:space="0"/>
            </w:tcBorders>
            <w:vAlign w:val="center"/>
          </w:tcPr>
          <w:p w14:paraId="0F692A97">
            <w:pPr>
              <w:jc w:val="center"/>
            </w:pPr>
            <w:r>
              <w:t>0.022</w:t>
            </w:r>
          </w:p>
        </w:tc>
        <w:tc>
          <w:tcPr>
            <w:tcW w:w="1400" w:type="dxa"/>
            <w:tcBorders>
              <w:top w:val="nil"/>
              <w:left w:val="single" w:color="000000" w:sz="2" w:space="0"/>
              <w:bottom w:val="nil"/>
              <w:right w:val="single" w:color="000000" w:sz="2" w:space="0"/>
            </w:tcBorders>
            <w:vAlign w:val="center"/>
          </w:tcPr>
          <w:p w14:paraId="5093A6BE">
            <w:pPr>
              <w:jc w:val="center"/>
            </w:pPr>
            <w:r>
              <w:t>0.041</w:t>
            </w:r>
          </w:p>
        </w:tc>
        <w:tc>
          <w:tcPr>
            <w:tcW w:w="1700" w:type="dxa"/>
            <w:tcBorders>
              <w:top w:val="nil"/>
              <w:left w:val="single" w:color="000000" w:sz="2" w:space="0"/>
              <w:bottom w:val="nil"/>
              <w:right w:val="single" w:color="000000" w:sz="2" w:space="0"/>
            </w:tcBorders>
            <w:vAlign w:val="center"/>
          </w:tcPr>
          <w:p w14:paraId="4B709BBB">
            <w:pPr>
              <w:jc w:val="center"/>
            </w:pPr>
            <w:r>
              <w:t>0.077</w:t>
            </w:r>
          </w:p>
        </w:tc>
        <w:tc>
          <w:tcPr>
            <w:tcW w:w="1512" w:type="dxa"/>
            <w:tcBorders>
              <w:top w:val="nil"/>
              <w:left w:val="single" w:color="000000" w:sz="2" w:space="0"/>
              <w:bottom w:val="nil"/>
              <w:right w:val="single" w:color="000000" w:sz="2" w:space="0"/>
            </w:tcBorders>
            <w:vAlign w:val="center"/>
          </w:tcPr>
          <w:p w14:paraId="3A1328DB">
            <w:pPr>
              <w:jc w:val="center"/>
            </w:pPr>
            <w:r>
              <w:t>2.316</w:t>
            </w:r>
          </w:p>
        </w:tc>
        <w:tc>
          <w:tcPr>
            <w:tcW w:w="1671" w:type="dxa"/>
            <w:tcBorders>
              <w:top w:val="nil"/>
              <w:left w:val="single" w:color="000000" w:sz="2" w:space="0"/>
              <w:bottom w:val="nil"/>
              <w:right w:val="single" w:color="000000" w:sz="2" w:space="0"/>
            </w:tcBorders>
            <w:vAlign w:val="center"/>
          </w:tcPr>
          <w:p w14:paraId="0C131DD2">
            <w:pPr>
              <w:jc w:val="center"/>
            </w:pPr>
            <w:r>
              <w:t>2.355</w:t>
            </w:r>
          </w:p>
        </w:tc>
      </w:tr>
      <w:tr w14:paraId="36270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0" w:hRule="atLeast"/>
        </w:trPr>
        <w:tc>
          <w:tcPr>
            <w:tcW w:w="1373" w:type="dxa"/>
            <w:tcBorders>
              <w:top w:val="nil"/>
              <w:left w:val="single" w:color="000000" w:sz="2" w:space="0"/>
              <w:bottom w:val="nil"/>
              <w:right w:val="single" w:color="000000" w:sz="2" w:space="0"/>
            </w:tcBorders>
            <w:vAlign w:val="center"/>
          </w:tcPr>
          <w:p w14:paraId="45BD1573">
            <w:pPr>
              <w:jc w:val="center"/>
            </w:pPr>
            <w:r>
              <w:t>2.500</w:t>
            </w:r>
          </w:p>
        </w:tc>
        <w:tc>
          <w:tcPr>
            <w:tcW w:w="1403" w:type="dxa"/>
            <w:tcBorders>
              <w:top w:val="nil"/>
              <w:left w:val="single" w:color="000000" w:sz="2" w:space="0"/>
              <w:bottom w:val="nil"/>
              <w:right w:val="single" w:color="000000" w:sz="2" w:space="0"/>
            </w:tcBorders>
            <w:vAlign w:val="center"/>
          </w:tcPr>
          <w:p w14:paraId="01ECB233">
            <w:pPr>
              <w:jc w:val="center"/>
            </w:pPr>
            <w:r>
              <w:t>0.025</w:t>
            </w:r>
          </w:p>
        </w:tc>
        <w:tc>
          <w:tcPr>
            <w:tcW w:w="1400" w:type="dxa"/>
            <w:tcBorders>
              <w:top w:val="nil"/>
              <w:left w:val="single" w:color="000000" w:sz="2" w:space="0"/>
              <w:bottom w:val="nil"/>
              <w:right w:val="single" w:color="000000" w:sz="2" w:space="0"/>
            </w:tcBorders>
            <w:vAlign w:val="center"/>
          </w:tcPr>
          <w:p w14:paraId="707D04B3">
            <w:pPr>
              <w:jc w:val="center"/>
            </w:pPr>
            <w:r>
              <w:t>0.042</w:t>
            </w:r>
          </w:p>
        </w:tc>
        <w:tc>
          <w:tcPr>
            <w:tcW w:w="1700" w:type="dxa"/>
            <w:tcBorders>
              <w:top w:val="nil"/>
              <w:left w:val="single" w:color="000000" w:sz="2" w:space="0"/>
              <w:bottom w:val="nil"/>
              <w:right w:val="single" w:color="000000" w:sz="2" w:space="0"/>
            </w:tcBorders>
            <w:vAlign w:val="center"/>
          </w:tcPr>
          <w:p w14:paraId="072A2D63">
            <w:pPr>
              <w:jc w:val="center"/>
            </w:pPr>
            <w:r>
              <w:t>0.079</w:t>
            </w:r>
          </w:p>
        </w:tc>
        <w:tc>
          <w:tcPr>
            <w:tcW w:w="1512" w:type="dxa"/>
            <w:tcBorders>
              <w:top w:val="nil"/>
              <w:left w:val="single" w:color="000000" w:sz="2" w:space="0"/>
              <w:bottom w:val="nil"/>
              <w:right w:val="single" w:color="000000" w:sz="2" w:space="0"/>
            </w:tcBorders>
            <w:vAlign w:val="center"/>
          </w:tcPr>
          <w:p w14:paraId="781BD7CC">
            <w:pPr>
              <w:jc w:val="center"/>
            </w:pPr>
            <w:r>
              <w:t>2.578</w:t>
            </w:r>
          </w:p>
        </w:tc>
        <w:tc>
          <w:tcPr>
            <w:tcW w:w="1671" w:type="dxa"/>
            <w:tcBorders>
              <w:top w:val="nil"/>
              <w:left w:val="single" w:color="000000" w:sz="2" w:space="0"/>
              <w:bottom w:val="nil"/>
              <w:right w:val="single" w:color="000000" w:sz="2" w:space="0"/>
            </w:tcBorders>
            <w:vAlign w:val="center"/>
          </w:tcPr>
          <w:p w14:paraId="5F32AD16">
            <w:pPr>
              <w:jc w:val="center"/>
            </w:pPr>
            <w:r>
              <w:t>2.618</w:t>
            </w:r>
          </w:p>
        </w:tc>
      </w:tr>
      <w:tr w14:paraId="2527DC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0" w:hRule="atLeast"/>
        </w:trPr>
        <w:tc>
          <w:tcPr>
            <w:tcW w:w="1373" w:type="dxa"/>
            <w:tcBorders>
              <w:top w:val="nil"/>
              <w:left w:val="single" w:color="000000" w:sz="2" w:space="0"/>
              <w:bottom w:val="nil"/>
              <w:right w:val="single" w:color="000000" w:sz="2" w:space="0"/>
            </w:tcBorders>
            <w:vAlign w:val="center"/>
          </w:tcPr>
          <w:p w14:paraId="126F7304">
            <w:pPr>
              <w:jc w:val="center"/>
            </w:pPr>
            <w:r>
              <w:t>2.800</w:t>
            </w:r>
          </w:p>
        </w:tc>
        <w:tc>
          <w:tcPr>
            <w:tcW w:w="1403" w:type="dxa"/>
            <w:tcBorders>
              <w:top w:val="nil"/>
              <w:left w:val="single" w:color="000000" w:sz="2" w:space="0"/>
              <w:bottom w:val="nil"/>
              <w:right w:val="single" w:color="000000" w:sz="2" w:space="0"/>
            </w:tcBorders>
            <w:vAlign w:val="center"/>
          </w:tcPr>
          <w:p w14:paraId="589C2D8E">
            <w:pPr>
              <w:jc w:val="center"/>
            </w:pPr>
            <w:r>
              <w:t>0.028</w:t>
            </w:r>
          </w:p>
        </w:tc>
        <w:tc>
          <w:tcPr>
            <w:tcW w:w="1400" w:type="dxa"/>
            <w:tcBorders>
              <w:top w:val="nil"/>
              <w:left w:val="single" w:color="000000" w:sz="2" w:space="0"/>
              <w:bottom w:val="nil"/>
              <w:right w:val="single" w:color="000000" w:sz="2" w:space="0"/>
            </w:tcBorders>
            <w:vAlign w:val="center"/>
          </w:tcPr>
          <w:p w14:paraId="7A8C76E6">
            <w:pPr>
              <w:jc w:val="center"/>
            </w:pPr>
            <w:r>
              <w:t>0.043</w:t>
            </w:r>
          </w:p>
        </w:tc>
        <w:tc>
          <w:tcPr>
            <w:tcW w:w="1700" w:type="dxa"/>
            <w:tcBorders>
              <w:top w:val="nil"/>
              <w:left w:val="single" w:color="000000" w:sz="2" w:space="0"/>
              <w:bottom w:val="nil"/>
              <w:right w:val="single" w:color="000000" w:sz="2" w:space="0"/>
            </w:tcBorders>
            <w:vAlign w:val="center"/>
          </w:tcPr>
          <w:p w14:paraId="79BA5F58">
            <w:pPr>
              <w:jc w:val="center"/>
            </w:pPr>
            <w:r>
              <w:t>0.081</w:t>
            </w:r>
          </w:p>
        </w:tc>
        <w:tc>
          <w:tcPr>
            <w:tcW w:w="1512" w:type="dxa"/>
            <w:tcBorders>
              <w:top w:val="nil"/>
              <w:left w:val="single" w:color="000000" w:sz="2" w:space="0"/>
              <w:bottom w:val="nil"/>
              <w:right w:val="single" w:color="000000" w:sz="2" w:space="0"/>
            </w:tcBorders>
            <w:vAlign w:val="center"/>
          </w:tcPr>
          <w:p w14:paraId="7DE8B4AB">
            <w:pPr>
              <w:jc w:val="center"/>
            </w:pPr>
            <w:r>
              <w:t>2.88</w:t>
            </w:r>
          </w:p>
        </w:tc>
        <w:tc>
          <w:tcPr>
            <w:tcW w:w="1671" w:type="dxa"/>
            <w:tcBorders>
              <w:top w:val="nil"/>
              <w:left w:val="single" w:color="000000" w:sz="2" w:space="0"/>
              <w:bottom w:val="nil"/>
              <w:right w:val="single" w:color="000000" w:sz="2" w:space="0"/>
            </w:tcBorders>
            <w:vAlign w:val="center"/>
          </w:tcPr>
          <w:p w14:paraId="6367EE25">
            <w:pPr>
              <w:jc w:val="center"/>
            </w:pPr>
            <w:r>
              <w:t>2.922</w:t>
            </w:r>
          </w:p>
        </w:tc>
      </w:tr>
      <w:tr w14:paraId="51E2E7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0" w:hRule="atLeast"/>
        </w:trPr>
        <w:tc>
          <w:tcPr>
            <w:tcW w:w="1373" w:type="dxa"/>
            <w:tcBorders>
              <w:top w:val="nil"/>
              <w:left w:val="single" w:color="000000" w:sz="2" w:space="0"/>
              <w:bottom w:val="nil"/>
              <w:right w:val="single" w:color="000000" w:sz="2" w:space="0"/>
            </w:tcBorders>
            <w:vAlign w:val="center"/>
          </w:tcPr>
          <w:p w14:paraId="0536A948">
            <w:pPr>
              <w:jc w:val="center"/>
            </w:pPr>
            <w:r>
              <w:t>3.150</w:t>
            </w:r>
          </w:p>
        </w:tc>
        <w:tc>
          <w:tcPr>
            <w:tcW w:w="1403" w:type="dxa"/>
            <w:tcBorders>
              <w:top w:val="nil"/>
              <w:left w:val="single" w:color="000000" w:sz="2" w:space="0"/>
              <w:bottom w:val="nil"/>
              <w:right w:val="single" w:color="000000" w:sz="2" w:space="0"/>
            </w:tcBorders>
            <w:vAlign w:val="center"/>
          </w:tcPr>
          <w:p w14:paraId="1D08D718">
            <w:pPr>
              <w:jc w:val="center"/>
            </w:pPr>
            <w:r>
              <w:t>0.032</w:t>
            </w:r>
          </w:p>
        </w:tc>
        <w:tc>
          <w:tcPr>
            <w:tcW w:w="1400" w:type="dxa"/>
            <w:tcBorders>
              <w:top w:val="nil"/>
              <w:left w:val="single" w:color="000000" w:sz="2" w:space="0"/>
              <w:bottom w:val="nil"/>
              <w:right w:val="single" w:color="000000" w:sz="2" w:space="0"/>
            </w:tcBorders>
            <w:vAlign w:val="center"/>
          </w:tcPr>
          <w:p w14:paraId="77308670">
            <w:pPr>
              <w:jc w:val="center"/>
            </w:pPr>
            <w:r>
              <w:t>0.045</w:t>
            </w:r>
          </w:p>
        </w:tc>
        <w:tc>
          <w:tcPr>
            <w:tcW w:w="1700" w:type="dxa"/>
            <w:tcBorders>
              <w:top w:val="nil"/>
              <w:left w:val="single" w:color="000000" w:sz="2" w:space="0"/>
              <w:bottom w:val="nil"/>
              <w:right w:val="single" w:color="000000" w:sz="2" w:space="0"/>
            </w:tcBorders>
            <w:vAlign w:val="center"/>
          </w:tcPr>
          <w:p w14:paraId="1BA264E9">
            <w:pPr>
              <w:jc w:val="center"/>
            </w:pPr>
            <w:r>
              <w:t>0.084</w:t>
            </w:r>
          </w:p>
        </w:tc>
        <w:tc>
          <w:tcPr>
            <w:tcW w:w="1512" w:type="dxa"/>
            <w:tcBorders>
              <w:top w:val="nil"/>
              <w:left w:val="single" w:color="000000" w:sz="2" w:space="0"/>
              <w:bottom w:val="nil"/>
              <w:right w:val="single" w:color="000000" w:sz="2" w:space="0"/>
            </w:tcBorders>
            <w:vAlign w:val="center"/>
          </w:tcPr>
          <w:p w14:paraId="4005F99D">
            <w:pPr>
              <w:jc w:val="center"/>
            </w:pPr>
            <w:r>
              <w:t>3.233</w:t>
            </w:r>
          </w:p>
        </w:tc>
        <w:tc>
          <w:tcPr>
            <w:tcW w:w="1671" w:type="dxa"/>
            <w:tcBorders>
              <w:top w:val="nil"/>
              <w:left w:val="single" w:color="000000" w:sz="2" w:space="0"/>
              <w:bottom w:val="nil"/>
              <w:right w:val="single" w:color="000000" w:sz="2" w:space="0"/>
            </w:tcBorders>
            <w:vAlign w:val="center"/>
          </w:tcPr>
          <w:p w14:paraId="4045D400">
            <w:pPr>
              <w:jc w:val="center"/>
            </w:pPr>
            <w:r>
              <w:t>3.276</w:t>
            </w:r>
          </w:p>
        </w:tc>
      </w:tr>
      <w:tr w14:paraId="6038D5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0" w:hRule="atLeast"/>
        </w:trPr>
        <w:tc>
          <w:tcPr>
            <w:tcW w:w="1373" w:type="dxa"/>
            <w:tcBorders>
              <w:top w:val="nil"/>
              <w:left w:val="single" w:color="000000" w:sz="2" w:space="0"/>
              <w:bottom w:val="nil"/>
              <w:right w:val="single" w:color="000000" w:sz="2" w:space="0"/>
            </w:tcBorders>
            <w:vAlign w:val="center"/>
          </w:tcPr>
          <w:p w14:paraId="08CF827C">
            <w:pPr>
              <w:jc w:val="center"/>
            </w:pPr>
            <w:r>
              <w:t>3.550</w:t>
            </w:r>
          </w:p>
        </w:tc>
        <w:tc>
          <w:tcPr>
            <w:tcW w:w="1403" w:type="dxa"/>
            <w:tcBorders>
              <w:top w:val="nil"/>
              <w:left w:val="single" w:color="000000" w:sz="2" w:space="0"/>
              <w:bottom w:val="nil"/>
              <w:right w:val="single" w:color="000000" w:sz="2" w:space="0"/>
            </w:tcBorders>
            <w:vAlign w:val="center"/>
          </w:tcPr>
          <w:p w14:paraId="1BCD93E9">
            <w:pPr>
              <w:jc w:val="center"/>
            </w:pPr>
            <w:r>
              <w:t>0.036</w:t>
            </w:r>
          </w:p>
        </w:tc>
        <w:tc>
          <w:tcPr>
            <w:tcW w:w="1400" w:type="dxa"/>
            <w:tcBorders>
              <w:top w:val="nil"/>
              <w:left w:val="single" w:color="000000" w:sz="2" w:space="0"/>
              <w:bottom w:val="nil"/>
              <w:right w:val="single" w:color="000000" w:sz="2" w:space="0"/>
            </w:tcBorders>
            <w:vAlign w:val="center"/>
          </w:tcPr>
          <w:p w14:paraId="38B00259">
            <w:pPr>
              <w:jc w:val="center"/>
            </w:pPr>
            <w:r>
              <w:t>0.046</w:t>
            </w:r>
          </w:p>
        </w:tc>
        <w:tc>
          <w:tcPr>
            <w:tcW w:w="1700" w:type="dxa"/>
            <w:tcBorders>
              <w:top w:val="nil"/>
              <w:left w:val="single" w:color="000000" w:sz="2" w:space="0"/>
              <w:bottom w:val="nil"/>
              <w:right w:val="single" w:color="000000" w:sz="2" w:space="0"/>
            </w:tcBorders>
            <w:vAlign w:val="center"/>
          </w:tcPr>
          <w:p w14:paraId="5356ECB8">
            <w:pPr>
              <w:jc w:val="center"/>
            </w:pPr>
            <w:r>
              <w:t>0.086</w:t>
            </w:r>
          </w:p>
        </w:tc>
        <w:tc>
          <w:tcPr>
            <w:tcW w:w="1512" w:type="dxa"/>
            <w:tcBorders>
              <w:top w:val="nil"/>
              <w:left w:val="single" w:color="000000" w:sz="2" w:space="0"/>
              <w:bottom w:val="nil"/>
              <w:right w:val="single" w:color="000000" w:sz="2" w:space="0"/>
            </w:tcBorders>
            <w:vAlign w:val="center"/>
          </w:tcPr>
          <w:p w14:paraId="48C42742">
            <w:pPr>
              <w:jc w:val="center"/>
            </w:pPr>
            <w:r>
              <w:t>3.635</w:t>
            </w:r>
          </w:p>
        </w:tc>
        <w:tc>
          <w:tcPr>
            <w:tcW w:w="1671" w:type="dxa"/>
            <w:tcBorders>
              <w:top w:val="nil"/>
              <w:left w:val="single" w:color="000000" w:sz="2" w:space="0"/>
              <w:bottom w:val="nil"/>
              <w:right w:val="single" w:color="000000" w:sz="2" w:space="0"/>
            </w:tcBorders>
            <w:vAlign w:val="center"/>
          </w:tcPr>
          <w:p w14:paraId="2822F5B4">
            <w:pPr>
              <w:jc w:val="center"/>
            </w:pPr>
            <w:r>
              <w:t>3.679</w:t>
            </w:r>
          </w:p>
        </w:tc>
      </w:tr>
      <w:tr w14:paraId="1B0FC0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0" w:hRule="atLeast"/>
        </w:trPr>
        <w:tc>
          <w:tcPr>
            <w:tcW w:w="1373" w:type="dxa"/>
            <w:tcBorders>
              <w:top w:val="nil"/>
              <w:left w:val="single" w:color="000000" w:sz="2" w:space="0"/>
              <w:bottom w:val="nil"/>
              <w:right w:val="single" w:color="000000" w:sz="2" w:space="0"/>
            </w:tcBorders>
            <w:vAlign w:val="center"/>
          </w:tcPr>
          <w:p w14:paraId="7F5DCB29">
            <w:pPr>
              <w:jc w:val="center"/>
            </w:pPr>
            <w:r>
              <w:t>4.000</w:t>
            </w:r>
          </w:p>
        </w:tc>
        <w:tc>
          <w:tcPr>
            <w:tcW w:w="1403" w:type="dxa"/>
            <w:tcBorders>
              <w:top w:val="nil"/>
              <w:left w:val="single" w:color="000000" w:sz="2" w:space="0"/>
              <w:bottom w:val="nil"/>
              <w:right w:val="single" w:color="000000" w:sz="2" w:space="0"/>
            </w:tcBorders>
            <w:vAlign w:val="center"/>
          </w:tcPr>
          <w:p w14:paraId="4C47F28F">
            <w:pPr>
              <w:jc w:val="center"/>
            </w:pPr>
            <w:r>
              <w:t>0.040</w:t>
            </w:r>
          </w:p>
        </w:tc>
        <w:tc>
          <w:tcPr>
            <w:tcW w:w="1400" w:type="dxa"/>
            <w:tcBorders>
              <w:top w:val="nil"/>
              <w:left w:val="single" w:color="000000" w:sz="2" w:space="0"/>
              <w:bottom w:val="nil"/>
              <w:right w:val="single" w:color="000000" w:sz="2" w:space="0"/>
            </w:tcBorders>
            <w:vAlign w:val="center"/>
          </w:tcPr>
          <w:p w14:paraId="7F312BCA">
            <w:pPr>
              <w:jc w:val="center"/>
            </w:pPr>
            <w:r>
              <w:t>0.047</w:t>
            </w:r>
          </w:p>
        </w:tc>
        <w:tc>
          <w:tcPr>
            <w:tcW w:w="1700" w:type="dxa"/>
            <w:tcBorders>
              <w:top w:val="nil"/>
              <w:left w:val="single" w:color="000000" w:sz="2" w:space="0"/>
              <w:bottom w:val="nil"/>
              <w:right w:val="single" w:color="000000" w:sz="2" w:space="0"/>
            </w:tcBorders>
            <w:vAlign w:val="center"/>
          </w:tcPr>
          <w:p w14:paraId="1C69EE67">
            <w:pPr>
              <w:jc w:val="center"/>
            </w:pPr>
            <w:r>
              <w:t>0.089</w:t>
            </w:r>
          </w:p>
        </w:tc>
        <w:tc>
          <w:tcPr>
            <w:tcW w:w="1512" w:type="dxa"/>
            <w:tcBorders>
              <w:top w:val="nil"/>
              <w:left w:val="single" w:color="000000" w:sz="2" w:space="0"/>
              <w:bottom w:val="nil"/>
              <w:right w:val="single" w:color="000000" w:sz="2" w:space="0"/>
            </w:tcBorders>
            <w:vAlign w:val="center"/>
          </w:tcPr>
          <w:p w14:paraId="26EBAF60">
            <w:pPr>
              <w:jc w:val="center"/>
            </w:pPr>
            <w:r>
              <w:t>4.088</w:t>
            </w:r>
          </w:p>
        </w:tc>
        <w:tc>
          <w:tcPr>
            <w:tcW w:w="1671" w:type="dxa"/>
            <w:tcBorders>
              <w:top w:val="nil"/>
              <w:left w:val="single" w:color="000000" w:sz="2" w:space="0"/>
              <w:bottom w:val="nil"/>
              <w:right w:val="single" w:color="000000" w:sz="2" w:space="0"/>
            </w:tcBorders>
            <w:vAlign w:val="center"/>
          </w:tcPr>
          <w:p w14:paraId="3AB3B411">
            <w:pPr>
              <w:jc w:val="center"/>
            </w:pPr>
            <w:r>
              <w:t>4.133</w:t>
            </w:r>
          </w:p>
        </w:tc>
      </w:tr>
      <w:tr w14:paraId="58B333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0" w:hRule="atLeast"/>
        </w:trPr>
        <w:tc>
          <w:tcPr>
            <w:tcW w:w="1373" w:type="dxa"/>
            <w:tcBorders>
              <w:top w:val="nil"/>
              <w:left w:val="single" w:color="000000" w:sz="2" w:space="0"/>
              <w:bottom w:val="nil"/>
              <w:right w:val="single" w:color="000000" w:sz="2" w:space="0"/>
            </w:tcBorders>
            <w:vAlign w:val="center"/>
          </w:tcPr>
          <w:p w14:paraId="46671CE7">
            <w:pPr>
              <w:jc w:val="center"/>
            </w:pPr>
            <w:r>
              <w:t>4.500</w:t>
            </w:r>
          </w:p>
        </w:tc>
        <w:tc>
          <w:tcPr>
            <w:tcW w:w="1403" w:type="dxa"/>
            <w:tcBorders>
              <w:top w:val="nil"/>
              <w:left w:val="single" w:color="000000" w:sz="2" w:space="0"/>
              <w:bottom w:val="nil"/>
              <w:right w:val="single" w:color="000000" w:sz="2" w:space="0"/>
            </w:tcBorders>
            <w:vAlign w:val="center"/>
          </w:tcPr>
          <w:p w14:paraId="7CCCA75A">
            <w:pPr>
              <w:jc w:val="center"/>
            </w:pPr>
            <w:r>
              <w:t>0.045</w:t>
            </w:r>
          </w:p>
        </w:tc>
        <w:tc>
          <w:tcPr>
            <w:tcW w:w="1400" w:type="dxa"/>
            <w:tcBorders>
              <w:top w:val="nil"/>
              <w:left w:val="single" w:color="000000" w:sz="2" w:space="0"/>
              <w:bottom w:val="nil"/>
              <w:right w:val="single" w:color="000000" w:sz="2" w:space="0"/>
            </w:tcBorders>
            <w:vAlign w:val="center"/>
          </w:tcPr>
          <w:p w14:paraId="523D14F1">
            <w:pPr>
              <w:jc w:val="center"/>
            </w:pPr>
            <w:r>
              <w:t>0.049</w:t>
            </w:r>
          </w:p>
        </w:tc>
        <w:tc>
          <w:tcPr>
            <w:tcW w:w="1700" w:type="dxa"/>
            <w:tcBorders>
              <w:top w:val="nil"/>
              <w:left w:val="single" w:color="000000" w:sz="2" w:space="0"/>
              <w:bottom w:val="nil"/>
              <w:right w:val="single" w:color="000000" w:sz="2" w:space="0"/>
            </w:tcBorders>
            <w:vAlign w:val="center"/>
          </w:tcPr>
          <w:p w14:paraId="0C593519">
            <w:pPr>
              <w:jc w:val="center"/>
            </w:pPr>
            <w:r>
              <w:t>0.092</w:t>
            </w:r>
          </w:p>
        </w:tc>
        <w:tc>
          <w:tcPr>
            <w:tcW w:w="1512" w:type="dxa"/>
            <w:tcBorders>
              <w:top w:val="nil"/>
              <w:left w:val="single" w:color="000000" w:sz="2" w:space="0"/>
              <w:bottom w:val="nil"/>
              <w:right w:val="single" w:color="000000" w:sz="2" w:space="0"/>
            </w:tcBorders>
            <w:vAlign w:val="center"/>
          </w:tcPr>
          <w:p w14:paraId="5556C7DD">
            <w:pPr>
              <w:jc w:val="center"/>
            </w:pPr>
            <w:r>
              <w:t>4.591</w:t>
            </w:r>
          </w:p>
        </w:tc>
        <w:tc>
          <w:tcPr>
            <w:tcW w:w="1671" w:type="dxa"/>
            <w:tcBorders>
              <w:top w:val="nil"/>
              <w:left w:val="single" w:color="000000" w:sz="2" w:space="0"/>
              <w:bottom w:val="nil"/>
              <w:right w:val="single" w:color="000000" w:sz="2" w:space="0"/>
            </w:tcBorders>
            <w:vAlign w:val="center"/>
          </w:tcPr>
          <w:p w14:paraId="7D3E4392">
            <w:pPr>
              <w:jc w:val="center"/>
            </w:pPr>
            <w:r>
              <w:t>4.637</w:t>
            </w:r>
          </w:p>
        </w:tc>
      </w:tr>
      <w:tr w14:paraId="1067EC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36" w:hRule="atLeast"/>
        </w:trPr>
        <w:tc>
          <w:tcPr>
            <w:tcW w:w="1373" w:type="dxa"/>
            <w:tcBorders>
              <w:top w:val="nil"/>
              <w:left w:val="single" w:color="000000" w:sz="2" w:space="0"/>
              <w:bottom w:val="single" w:color="000000" w:sz="2" w:space="0"/>
              <w:right w:val="single" w:color="000000" w:sz="2" w:space="0"/>
            </w:tcBorders>
            <w:vAlign w:val="center"/>
          </w:tcPr>
          <w:p w14:paraId="6DCC5C57">
            <w:pPr>
              <w:jc w:val="center"/>
            </w:pPr>
            <w:r>
              <w:t>5.000</w:t>
            </w:r>
          </w:p>
        </w:tc>
        <w:tc>
          <w:tcPr>
            <w:tcW w:w="1403" w:type="dxa"/>
            <w:tcBorders>
              <w:top w:val="nil"/>
              <w:left w:val="single" w:color="000000" w:sz="2" w:space="0"/>
              <w:bottom w:val="single" w:color="000000" w:sz="2" w:space="0"/>
              <w:right w:val="single" w:color="000000" w:sz="2" w:space="0"/>
            </w:tcBorders>
            <w:vAlign w:val="center"/>
          </w:tcPr>
          <w:p w14:paraId="53FF6C71">
            <w:pPr>
              <w:jc w:val="center"/>
            </w:pPr>
            <w:r>
              <w:t>0.050</w:t>
            </w:r>
          </w:p>
        </w:tc>
        <w:tc>
          <w:tcPr>
            <w:tcW w:w="1400" w:type="dxa"/>
            <w:tcBorders>
              <w:top w:val="nil"/>
              <w:left w:val="single" w:color="000000" w:sz="2" w:space="0"/>
              <w:bottom w:val="single" w:color="000000" w:sz="2" w:space="0"/>
              <w:right w:val="single" w:color="000000" w:sz="2" w:space="0"/>
            </w:tcBorders>
            <w:vAlign w:val="center"/>
          </w:tcPr>
          <w:p w14:paraId="08F00831">
            <w:pPr>
              <w:jc w:val="center"/>
            </w:pPr>
            <w:r>
              <w:t>0.050</w:t>
            </w:r>
          </w:p>
        </w:tc>
        <w:tc>
          <w:tcPr>
            <w:tcW w:w="1700" w:type="dxa"/>
            <w:tcBorders>
              <w:top w:val="nil"/>
              <w:left w:val="single" w:color="000000" w:sz="2" w:space="0"/>
              <w:bottom w:val="single" w:color="000000" w:sz="2" w:space="0"/>
              <w:right w:val="single" w:color="000000" w:sz="2" w:space="0"/>
            </w:tcBorders>
            <w:vAlign w:val="center"/>
          </w:tcPr>
          <w:p w14:paraId="7B76EACE">
            <w:pPr>
              <w:jc w:val="center"/>
            </w:pPr>
            <w:r>
              <w:t>0.094</w:t>
            </w:r>
          </w:p>
        </w:tc>
        <w:tc>
          <w:tcPr>
            <w:tcW w:w="1512" w:type="dxa"/>
            <w:tcBorders>
              <w:top w:val="nil"/>
              <w:left w:val="single" w:color="000000" w:sz="2" w:space="0"/>
              <w:bottom w:val="single" w:color="000000" w:sz="2" w:space="0"/>
              <w:right w:val="single" w:color="000000" w:sz="2" w:space="0"/>
            </w:tcBorders>
            <w:vAlign w:val="center"/>
          </w:tcPr>
          <w:p w14:paraId="1C1AEB15">
            <w:pPr>
              <w:jc w:val="center"/>
            </w:pPr>
            <w:r>
              <w:t>5.093</w:t>
            </w:r>
          </w:p>
        </w:tc>
        <w:tc>
          <w:tcPr>
            <w:tcW w:w="1671" w:type="dxa"/>
            <w:tcBorders>
              <w:top w:val="nil"/>
              <w:left w:val="single" w:color="000000" w:sz="2" w:space="0"/>
              <w:bottom w:val="single" w:color="000000" w:sz="2" w:space="0"/>
              <w:right w:val="single" w:color="000000" w:sz="2" w:space="0"/>
            </w:tcBorders>
            <w:vAlign w:val="center"/>
          </w:tcPr>
          <w:p w14:paraId="4FB93D0D">
            <w:pPr>
              <w:jc w:val="center"/>
            </w:pPr>
            <w:r>
              <w:t>5.141</w:t>
            </w:r>
          </w:p>
        </w:tc>
      </w:tr>
    </w:tbl>
    <w:p w14:paraId="3CF1AC45">
      <w:pPr>
        <w:pStyle w:val="59"/>
      </w:pPr>
      <w:r>
        <w:rPr>
          <w:rFonts w:hint="eastAsia"/>
        </w:rPr>
        <w:t>5</w:t>
      </w:r>
      <w:r>
        <w:rPr>
          <w:rFonts w:hint="eastAsia"/>
          <w:spacing w:val="20"/>
        </w:rPr>
        <w:t>.</w:t>
      </w:r>
      <w:r>
        <w:rPr>
          <w:rFonts w:hint="eastAsia"/>
        </w:rPr>
        <w:t>2　电阻</w:t>
      </w:r>
    </w:p>
    <w:p w14:paraId="250F5077">
      <w:pPr>
        <w:topLinePunct/>
        <w:spacing w:line="312" w:lineRule="exact"/>
        <w:ind w:firstLine="420" w:firstLineChars="200"/>
        <w:rPr>
          <w:snapToGrid w:val="0"/>
          <w:szCs w:val="21"/>
        </w:rPr>
      </w:pPr>
      <w:r>
        <w:rPr>
          <w:snapToGrid w:val="0"/>
          <w:szCs w:val="21"/>
        </w:rPr>
        <w:t>漆包圆绕组线电阻应用 20℃时的直流电阻表示。采用的测量方法准确度应为 0.5%。 电阻最大值应不大于按最小导体截面积和电阻系数1/58 Ω</w:t>
      </w:r>
      <w:r>
        <w:rPr>
          <w:rFonts w:hint="eastAsia"/>
          <w:snapToGrid w:val="0"/>
          <w:szCs w:val="21"/>
        </w:rPr>
        <w:t>·</w:t>
      </w:r>
      <m:oMath>
        <m:sSup>
          <m:sSupPr>
            <m:ctrlPr>
              <w:rPr>
                <w:rFonts w:ascii="Cambria Math" w:hAnsi="Cambria Math"/>
                <w:snapToGrid w:val="0"/>
                <w:szCs w:val="21"/>
              </w:rPr>
            </m:ctrlPr>
          </m:sSupPr>
          <m:e>
            <m:r>
              <m:rPr/>
              <w:rPr>
                <w:rFonts w:hint="eastAsia" w:ascii="Cambria Math" w:hAnsi="Cambria Math"/>
                <w:snapToGrid w:val="0"/>
                <w:szCs w:val="21"/>
              </w:rPr>
              <m:t>mm</m:t>
            </m:r>
            <m:ctrlPr>
              <w:rPr>
                <w:rFonts w:ascii="Cambria Math" w:hAnsi="Cambria Math"/>
                <w:snapToGrid w:val="0"/>
                <w:szCs w:val="21"/>
              </w:rPr>
            </m:ctrlPr>
          </m:e>
          <m:sup>
            <m:r>
              <m:rPr>
                <m:sty m:val="p"/>
              </m:rPr>
              <w:rPr>
                <w:rFonts w:ascii="Cambria Math" w:hAnsi="Cambria Math"/>
                <w:snapToGrid w:val="0"/>
                <w:szCs w:val="21"/>
              </w:rPr>
              <m:t>2</m:t>
            </m:r>
            <m:ctrlPr>
              <w:rPr>
                <w:rFonts w:ascii="Cambria Math" w:hAnsi="Cambria Math"/>
                <w:snapToGrid w:val="0"/>
                <w:szCs w:val="21"/>
              </w:rPr>
            </m:ctrlPr>
          </m:sup>
        </m:sSup>
      </m:oMath>
      <w:r>
        <w:rPr>
          <w:rFonts w:hint="eastAsia"/>
          <w:snapToGrid w:val="0"/>
          <w:szCs w:val="21"/>
        </w:rPr>
        <w:t>·</w:t>
      </w:r>
      <m:oMath>
        <m:sSup>
          <m:sSupPr>
            <m:ctrlPr>
              <w:rPr>
                <w:rFonts w:ascii="Cambria Math" w:hAnsi="Cambria Math"/>
                <w:snapToGrid w:val="0"/>
                <w:szCs w:val="21"/>
              </w:rPr>
            </m:ctrlPr>
          </m:sSupPr>
          <m:e>
            <m:r>
              <m:rPr/>
              <w:rPr>
                <w:rFonts w:ascii="Cambria Math" w:hAnsi="Cambria Math"/>
                <w:snapToGrid w:val="0"/>
                <w:szCs w:val="21"/>
              </w:rPr>
              <m:t>m</m:t>
            </m:r>
            <m:ctrlPr>
              <w:rPr>
                <w:rFonts w:ascii="Cambria Math" w:hAnsi="Cambria Math"/>
                <w:snapToGrid w:val="0"/>
                <w:szCs w:val="21"/>
              </w:rPr>
            </m:ctrlPr>
          </m:e>
          <m:sup>
            <m:r>
              <m:rPr>
                <m:sty m:val="p"/>
              </m:rPr>
              <w:rPr>
                <w:rFonts w:ascii="Cambria Math" w:hAnsi="Cambria Math"/>
                <w:snapToGrid w:val="0"/>
                <w:szCs w:val="21"/>
              </w:rPr>
              <m:t>−1</m:t>
            </m:r>
            <m:ctrlPr>
              <w:rPr>
                <w:rFonts w:ascii="Cambria Math" w:hAnsi="Cambria Math"/>
                <w:snapToGrid w:val="0"/>
                <w:szCs w:val="21"/>
              </w:rPr>
            </m:ctrlPr>
          </m:sup>
        </m:sSup>
      </m:oMath>
      <w:r>
        <w:rPr>
          <w:snapToGrid w:val="0"/>
          <w:szCs w:val="21"/>
        </w:rPr>
        <w:t>计算出来的值，其中最小导体截面积按导体最小直径计算。 应用直流电阻测试仪测量。</w:t>
      </w:r>
    </w:p>
    <w:p w14:paraId="3BD519DC">
      <w:pPr>
        <w:pStyle w:val="59"/>
        <w:rPr>
          <w:snapToGrid w:val="0"/>
        </w:rPr>
      </w:pPr>
      <w:r>
        <w:rPr>
          <w:rFonts w:hint="eastAsia"/>
        </w:rPr>
        <w:t>5</w:t>
      </w:r>
      <w:r>
        <w:rPr>
          <w:rFonts w:hint="eastAsia"/>
          <w:spacing w:val="20"/>
        </w:rPr>
        <w:t>.</w:t>
      </w:r>
      <w:r>
        <w:rPr>
          <w:rFonts w:hint="eastAsia"/>
        </w:rPr>
        <w:t>3　</w:t>
      </w:r>
      <w:r>
        <w:rPr>
          <w:rFonts w:hint="eastAsia"/>
          <w:snapToGrid w:val="0"/>
        </w:rPr>
        <w:t>柔韧性、附着性、热冲击、软化击穿、击穿电压、漆膜连续性、温度指数、耐冷冻剂、直焊性、热黏合、介质损耗系数、耐变压器油、失重及针孔试验</w:t>
      </w:r>
    </w:p>
    <w:p w14:paraId="4288F331">
      <w:pPr>
        <w:pStyle w:val="59"/>
        <w:ind w:firstLine="420" w:firstLineChars="200"/>
        <w:rPr>
          <w:rFonts w:ascii="Times New Roman" w:eastAsia="宋体"/>
          <w:snapToGrid w:val="0"/>
          <w:color w:val="auto"/>
          <w:kern w:val="2"/>
        </w:rPr>
      </w:pPr>
      <w:r>
        <w:rPr>
          <w:rFonts w:ascii="Times New Roman" w:eastAsia="宋体"/>
          <w:snapToGrid w:val="0"/>
          <w:color w:val="auto"/>
          <w:kern w:val="2"/>
        </w:rPr>
        <w:t>应完全符合国标要求，逐批严格按规定检查</w:t>
      </w:r>
    </w:p>
    <w:p w14:paraId="5FDA7A77">
      <w:pPr>
        <w:pStyle w:val="59"/>
      </w:pPr>
      <w:r>
        <w:rPr>
          <w:rFonts w:hint="eastAsia"/>
        </w:rPr>
        <w:t>5</w:t>
      </w:r>
      <w:r>
        <w:rPr>
          <w:rFonts w:hint="eastAsia"/>
          <w:spacing w:val="20"/>
        </w:rPr>
        <w:t>.</w:t>
      </w:r>
      <w:r>
        <w:rPr>
          <w:rFonts w:hint="eastAsia"/>
        </w:rPr>
        <w:t>4  其他要求</w:t>
      </w:r>
    </w:p>
    <w:p w14:paraId="17B41314">
      <w:pPr>
        <w:ind w:left="840" w:hanging="420"/>
      </w:pPr>
      <w:r>
        <w:rPr>
          <w:rFonts w:hint="eastAsia"/>
        </w:rPr>
        <w:t>a) 每一批次产品均应尽可能具有相同的特性。</w:t>
      </w:r>
    </w:p>
    <w:p w14:paraId="453CB488">
      <w:pPr>
        <w:ind w:left="840" w:hanging="420"/>
      </w:pPr>
      <w:r>
        <w:rPr>
          <w:rFonts w:hint="eastAsia"/>
        </w:rPr>
        <w:t>b) 必须取得</w:t>
      </w:r>
      <w:r>
        <w:t>国家级检测机构出具</w:t>
      </w:r>
      <w:r>
        <w:rPr>
          <w:rFonts w:hint="eastAsia"/>
        </w:rPr>
        <w:t>的</w:t>
      </w:r>
      <w:r>
        <w:t>产</w:t>
      </w:r>
      <w:r>
        <w:rPr>
          <w:rFonts w:hint="eastAsia"/>
        </w:rPr>
        <w:t>品检测报告。</w:t>
      </w:r>
    </w:p>
    <w:p w14:paraId="47D43C25">
      <w:pPr>
        <w:pStyle w:val="59"/>
      </w:pPr>
      <w:bookmarkStart w:id="8" w:name="_Toc358552337"/>
      <w:bookmarkStart w:id="9" w:name="_Toc358552375"/>
      <w:bookmarkStart w:id="10" w:name="_Toc363381650"/>
      <w:bookmarkStart w:id="11" w:name="_Toc363243289"/>
      <w:bookmarkStart w:id="12" w:name="_Toc363387107"/>
      <w:r>
        <w:t>5.</w:t>
      </w:r>
      <w:r>
        <w:rPr>
          <w:rFonts w:hint="eastAsia"/>
        </w:rPr>
        <w:t>5　标志、包装、运输</w:t>
      </w:r>
      <w:bookmarkEnd w:id="8"/>
      <w:bookmarkEnd w:id="9"/>
      <w:r>
        <w:rPr>
          <w:rFonts w:hint="eastAsia"/>
        </w:rPr>
        <w:t>、贮存</w:t>
      </w:r>
      <w:bookmarkEnd w:id="10"/>
      <w:bookmarkEnd w:id="11"/>
      <w:bookmarkEnd w:id="12"/>
    </w:p>
    <w:p w14:paraId="4D23C130">
      <w:pPr>
        <w:pStyle w:val="59"/>
      </w:pPr>
      <w:bookmarkStart w:id="13" w:name="_Toc363243290"/>
      <w:bookmarkStart w:id="14" w:name="_Toc363381651"/>
      <w:r>
        <w:t>5.</w:t>
      </w:r>
      <w:r>
        <w:rPr>
          <w:rFonts w:hint="eastAsia"/>
        </w:rPr>
        <w:t>5</w:t>
      </w:r>
      <w:r>
        <w:t>.1</w:t>
      </w:r>
      <w:r>
        <w:rPr>
          <w:rFonts w:hint="eastAsia"/>
        </w:rPr>
        <w:t>标志</w:t>
      </w:r>
      <w:bookmarkEnd w:id="13"/>
      <w:bookmarkEnd w:id="14"/>
    </w:p>
    <w:p w14:paraId="0996636C">
      <w:pPr>
        <w:topLinePunct/>
        <w:spacing w:line="312" w:lineRule="exact"/>
        <w:ind w:firstLine="420"/>
        <w:rPr>
          <w:szCs w:val="21"/>
        </w:rPr>
      </w:pPr>
      <w:r>
        <w:rPr>
          <w:rFonts w:hint="eastAsia"/>
          <w:szCs w:val="21"/>
        </w:rPr>
        <w:t>投标人应对货物包装进行完善的标志，以便招标人接收货物，</w:t>
      </w:r>
      <w:r>
        <w:rPr>
          <w:szCs w:val="21"/>
        </w:rPr>
        <w:t>每盘线要有明显标签，标签内容应包含下述内容：</w:t>
      </w:r>
    </w:p>
    <w:p w14:paraId="6970E360">
      <w:pPr>
        <w:ind w:left="840" w:hanging="420"/>
      </w:pPr>
      <w:r>
        <w:t>a) 制造厂商商标；</w:t>
      </w:r>
    </w:p>
    <w:p w14:paraId="2ACFBC1C">
      <w:pPr>
        <w:ind w:left="840" w:hanging="420"/>
      </w:pPr>
      <w:r>
        <w:t>b) 漆包线和漆膜种类，例如产品名称和/或国家标准编号；</w:t>
      </w:r>
    </w:p>
    <w:p w14:paraId="7E7036AA">
      <w:pPr>
        <w:ind w:left="840" w:hanging="420"/>
      </w:pPr>
      <w:r>
        <w:t>c) 导线批次（编码原则见附表）；</w:t>
      </w:r>
    </w:p>
    <w:p w14:paraId="31EE1650">
      <w:pPr>
        <w:ind w:left="840" w:hanging="420"/>
      </w:pPr>
      <w:r>
        <w:t>d) 漆包线净重；</w:t>
      </w:r>
    </w:p>
    <w:p w14:paraId="15DACCF6">
      <w:pPr>
        <w:ind w:left="840" w:hanging="420"/>
      </w:pPr>
      <w:r>
        <w:t>e) 漆包线标称尺寸和漆膜级别；</w:t>
      </w:r>
    </w:p>
    <w:p w14:paraId="6483D80D">
      <w:pPr>
        <w:ind w:left="840" w:hanging="420"/>
      </w:pPr>
      <w:r>
        <w:t>f) 制造日期。</w:t>
      </w:r>
    </w:p>
    <w:p w14:paraId="131CEDFB">
      <w:pPr>
        <w:pStyle w:val="59"/>
      </w:pPr>
      <w:r>
        <w:t>5.</w:t>
      </w:r>
      <w:r>
        <w:rPr>
          <w:rFonts w:hint="eastAsia"/>
        </w:rPr>
        <w:t>5</w:t>
      </w:r>
      <w:r>
        <w:t>.</w:t>
      </w:r>
      <w:r>
        <w:rPr>
          <w:rFonts w:hint="eastAsia"/>
        </w:rPr>
        <w:t>2包装及运输</w:t>
      </w:r>
    </w:p>
    <w:p w14:paraId="6D668676">
      <w:pPr>
        <w:topLinePunct/>
        <w:spacing w:line="312" w:lineRule="exact"/>
        <w:ind w:firstLine="420"/>
        <w:rPr>
          <w:szCs w:val="21"/>
        </w:rPr>
      </w:pPr>
      <w:r>
        <w:rPr>
          <w:rFonts w:hint="eastAsia"/>
          <w:szCs w:val="21"/>
        </w:rPr>
        <w:t>投标人应妥善考虑货物的包装、运输，招标人在接收货物时会进行货物包装、元件外观的进厂检验、且为完全检验，因包装、运输不完善造成的元件损伤，招标方有权要求投标方进行无条件更换。</w:t>
      </w:r>
    </w:p>
    <w:p w14:paraId="14D87003">
      <w:pPr>
        <w:ind w:left="840" w:hanging="420"/>
      </w:pPr>
      <w:r>
        <w:rPr>
          <w:rFonts w:hint="eastAsia"/>
        </w:rPr>
        <w:t xml:space="preserve">a) </w:t>
      </w:r>
      <w:r>
        <w:t>漆包线应均匀紧密地绕制在交货线盘上（线盘由供应商提供），线盘上的接头应不超过一个，当多于一个时供方应在标签上标明或在包装上标识出线段的长度。</w:t>
      </w:r>
    </w:p>
    <w:p w14:paraId="4E4DDC7C">
      <w:pPr>
        <w:ind w:left="840" w:hanging="420"/>
      </w:pPr>
      <w:r>
        <w:rPr>
          <w:rFonts w:hint="eastAsia"/>
        </w:rPr>
        <w:t xml:space="preserve">b) </w:t>
      </w:r>
      <w:r>
        <w:t>运输时要有防水、防潮、防磕碰措施，每盘线要求立装，严禁倒放。</w:t>
      </w:r>
    </w:p>
    <w:p w14:paraId="1042FF40">
      <w:pPr>
        <w:ind w:left="840" w:hanging="420"/>
      </w:pPr>
      <w:r>
        <w:rPr>
          <w:rFonts w:hint="eastAsia"/>
        </w:rPr>
        <w:t>c)</w:t>
      </w:r>
      <w:r>
        <w:t xml:space="preserve"> 每盘导线绕制时不应超出线盘外径。</w:t>
      </w:r>
    </w:p>
    <w:p w14:paraId="155DB54A">
      <w:pPr>
        <w:pStyle w:val="60"/>
        <w:outlineLvl w:val="0"/>
      </w:pPr>
      <w:bookmarkStart w:id="15" w:name="_Toc438720046"/>
      <w:r>
        <w:rPr>
          <w:rFonts w:hint="eastAsia"/>
        </w:rPr>
        <w:t>6　试验</w:t>
      </w:r>
      <w:bookmarkEnd w:id="15"/>
    </w:p>
    <w:p w14:paraId="34C85E30">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00B2F505">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7CCA3756">
      <w:pPr>
        <w:topLinePunct/>
        <w:spacing w:line="312" w:lineRule="exact"/>
        <w:rPr>
          <w:snapToGrid w:val="0"/>
          <w:szCs w:val="21"/>
        </w:rPr>
      </w:pPr>
      <w:r>
        <w:rPr>
          <w:rFonts w:hint="eastAsia" w:ascii="EU-F1" w:eastAsia="黑体"/>
          <w:szCs w:val="21"/>
        </w:rPr>
        <w:t xml:space="preserve">6.3 </w:t>
      </w:r>
      <w:r>
        <w:rPr>
          <w:snapToGrid w:val="0"/>
          <w:szCs w:val="21"/>
        </w:rPr>
        <w:t xml:space="preserve"> </w:t>
      </w:r>
      <w:r>
        <w:rPr>
          <w:rFonts w:hint="eastAsia"/>
          <w:bCs/>
          <w:szCs w:val="21"/>
        </w:rPr>
        <w:t>抽检试验由招标方委托第三方检验机构如电力工业电力产品及仪表质量检验测试中心配电系统产品及中低压电器质检站完成。</w:t>
      </w:r>
    </w:p>
    <w:p w14:paraId="1C00BB22">
      <w:pPr>
        <w:pStyle w:val="59"/>
      </w:pPr>
      <w:r>
        <w:rPr>
          <w:rFonts w:hint="eastAsia"/>
        </w:rPr>
        <w:t>6</w:t>
      </w:r>
      <w:r>
        <w:rPr>
          <w:rFonts w:hint="eastAsia"/>
          <w:spacing w:val="20"/>
        </w:rPr>
        <w:t>.</w:t>
      </w:r>
      <w:r>
        <w:rPr>
          <w:rFonts w:hint="eastAsia"/>
        </w:rPr>
        <w:t>4　出厂试验</w:t>
      </w:r>
    </w:p>
    <w:p w14:paraId="21B1A2E3">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4</w:t>
      </w:r>
      <w:r>
        <w:rPr>
          <w:rFonts w:hint="eastAsia" w:ascii="EU-F1"/>
          <w:snapToGrid w:val="0"/>
          <w:spacing w:val="20"/>
          <w:szCs w:val="21"/>
        </w:rPr>
        <w:t>.</w:t>
      </w:r>
      <w:r>
        <w:rPr>
          <w:rFonts w:hint="eastAsia" w:ascii="EU-F1"/>
          <w:snapToGrid w:val="0"/>
          <w:szCs w:val="21"/>
        </w:rPr>
        <w:t>1　</w:t>
      </w:r>
      <w:r>
        <w:rPr>
          <w:rFonts w:hint="eastAsia"/>
          <w:snapToGrid w:val="0"/>
          <w:szCs w:val="21"/>
        </w:rPr>
        <w:t>每一台产品在出厂时都应进行出厂试验，均应按相应的标准通过出厂试验。</w:t>
      </w:r>
    </w:p>
    <w:p w14:paraId="5794A6B7">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4</w:t>
      </w:r>
      <w:r>
        <w:rPr>
          <w:rFonts w:hint="eastAsia" w:ascii="EU-F1"/>
          <w:snapToGrid w:val="0"/>
          <w:spacing w:val="20"/>
          <w:szCs w:val="21"/>
        </w:rPr>
        <w:t>.</w:t>
      </w:r>
      <w:r>
        <w:rPr>
          <w:rFonts w:hint="eastAsia" w:ascii="EU-F1"/>
          <w:snapToGrid w:val="0"/>
          <w:szCs w:val="21"/>
        </w:rPr>
        <w:t>2　</w:t>
      </w:r>
      <w:r>
        <w:rPr>
          <w:rFonts w:hint="eastAsia"/>
          <w:snapToGrid w:val="0"/>
          <w:szCs w:val="21"/>
        </w:rPr>
        <w:t>出厂试验项目：</w:t>
      </w:r>
    </w:p>
    <w:p w14:paraId="26EE6799">
      <w:pPr>
        <w:ind w:left="840" w:hanging="420"/>
      </w:pPr>
      <w:r>
        <w:t>a</w:t>
      </w:r>
      <w:r>
        <w:rPr>
          <w:rFonts w:hint="eastAsia"/>
        </w:rPr>
        <w:t>）</w:t>
      </w:r>
      <w:r>
        <w:tab/>
      </w:r>
      <w:r>
        <w:rPr>
          <w:rFonts w:hint="eastAsia"/>
        </w:rPr>
        <w:t>外观检查</w:t>
      </w:r>
    </w:p>
    <w:p w14:paraId="1B50C30F">
      <w:pPr>
        <w:ind w:left="840" w:hanging="420"/>
      </w:pPr>
      <w:r>
        <w:t>b</w:t>
      </w:r>
      <w:r>
        <w:rPr>
          <w:rFonts w:hint="eastAsia"/>
        </w:rPr>
        <w:t>）</w:t>
      </w:r>
      <w:r>
        <w:tab/>
      </w:r>
      <w:r>
        <w:rPr>
          <w:rFonts w:hint="eastAsia"/>
        </w:rPr>
        <w:t>电阻测量试验</w:t>
      </w:r>
    </w:p>
    <w:p w14:paraId="42ECE0D7">
      <w:pPr>
        <w:pStyle w:val="59"/>
        <w:rPr>
          <w:rFonts w:hint="eastAsia"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rPr>
        <w:t>5　抽检试验</w:t>
      </w:r>
    </w:p>
    <w:p w14:paraId="2AF7D3F1">
      <w:pPr>
        <w:topLinePunct/>
        <w:spacing w:line="312" w:lineRule="exact"/>
        <w:rPr>
          <w:szCs w:val="21"/>
        </w:rPr>
      </w:pPr>
      <w:r>
        <w:rPr>
          <w:rFonts w:hint="eastAsia" w:ascii="黑体" w:hAnsi="黑体" w:eastAsia="黑体"/>
          <w:snapToGrid w:val="0"/>
          <w:color w:val="000000"/>
          <w:kern w:val="44"/>
          <w:szCs w:val="21"/>
        </w:rPr>
        <w:t>6.5.1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电力工业电力设备及仪表质量检验测试中心配电系统产品及中低压电器质检站）进行检测，检测方将检测结果报采购方审核确定，检测费用由投标人承担。</w:t>
      </w:r>
    </w:p>
    <w:p w14:paraId="066077DB">
      <w:pPr>
        <w:topLinePunct/>
        <w:spacing w:line="312" w:lineRule="exact"/>
        <w:rPr>
          <w:szCs w:val="21"/>
        </w:rPr>
      </w:pPr>
      <w:r>
        <w:rPr>
          <w:rFonts w:hint="eastAsia" w:ascii="黑体" w:hAnsi="黑体" w:eastAsia="黑体"/>
          <w:snapToGrid w:val="0"/>
          <w:color w:val="000000"/>
          <w:kern w:val="44"/>
          <w:szCs w:val="21"/>
        </w:rPr>
        <w:t>6.5.2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p>
    <w:p w14:paraId="0626FE7A">
      <w:pPr>
        <w:topLinePunct/>
        <w:spacing w:line="312" w:lineRule="exact"/>
        <w:rPr>
          <w:szCs w:val="21"/>
        </w:rPr>
      </w:pPr>
      <w:r>
        <w:rPr>
          <w:rFonts w:hint="eastAsia" w:ascii="黑体" w:hAnsi="黑体" w:eastAsia="黑体"/>
          <w:snapToGrid w:val="0"/>
          <w:color w:val="000000"/>
          <w:kern w:val="44"/>
          <w:szCs w:val="21"/>
        </w:rPr>
        <w:t>6.5.3</w:t>
      </w:r>
      <w:r>
        <w:rPr>
          <w:rFonts w:hint="eastAsia" w:ascii="EU-F1"/>
          <w:szCs w:val="21"/>
        </w:rPr>
        <w:t>　</w:t>
      </w:r>
      <w:r>
        <w:rPr>
          <w:rFonts w:hint="eastAsia"/>
          <w:szCs w:val="21"/>
        </w:rPr>
        <w:t>抽检项目：（包含但不限于）</w:t>
      </w:r>
    </w:p>
    <w:p w14:paraId="404B23E2">
      <w:pPr>
        <w:ind w:left="840" w:hanging="420"/>
      </w:pPr>
      <w:bookmarkStart w:id="16" w:name="_Toc438720047"/>
      <w:r>
        <w:t>a</w:t>
      </w:r>
      <w:r>
        <w:rPr>
          <w:rFonts w:hint="eastAsia"/>
        </w:rPr>
        <w:t>）</w:t>
      </w:r>
      <w:r>
        <w:tab/>
      </w:r>
      <w:r>
        <w:rPr>
          <w:rFonts w:hint="eastAsia"/>
        </w:rPr>
        <w:t>外观检查</w:t>
      </w:r>
    </w:p>
    <w:p w14:paraId="56B9FD9F">
      <w:pPr>
        <w:ind w:left="840" w:hanging="420"/>
      </w:pPr>
      <w:r>
        <w:t>b</w:t>
      </w:r>
      <w:r>
        <w:rPr>
          <w:rFonts w:hint="eastAsia"/>
        </w:rPr>
        <w:t>）</w:t>
      </w:r>
      <w:r>
        <w:tab/>
      </w:r>
      <w:r>
        <w:rPr>
          <w:rFonts w:hint="eastAsia"/>
        </w:rPr>
        <w:t>尺寸检查</w:t>
      </w:r>
    </w:p>
    <w:p w14:paraId="3F932F8D">
      <w:pPr>
        <w:ind w:left="840" w:hanging="420"/>
      </w:pPr>
      <w:r>
        <w:t>c</w:t>
      </w:r>
      <w:r>
        <w:rPr>
          <w:rFonts w:hint="eastAsia"/>
        </w:rPr>
        <w:t>）</w:t>
      </w:r>
      <w:r>
        <w:tab/>
      </w:r>
      <w:r>
        <w:rPr>
          <w:rFonts w:hint="eastAsia"/>
        </w:rPr>
        <w:t>电阻测量试验</w:t>
      </w:r>
    </w:p>
    <w:p w14:paraId="5780117B">
      <w:pPr>
        <w:pStyle w:val="60"/>
        <w:outlineLvl w:val="0"/>
      </w:pPr>
      <w:r>
        <w:rPr>
          <w:rFonts w:hint="eastAsia"/>
        </w:rPr>
        <w:t>7　技术服务、工厂检验</w:t>
      </w:r>
      <w:bookmarkEnd w:id="16"/>
    </w:p>
    <w:p w14:paraId="075FED79">
      <w:pPr>
        <w:pStyle w:val="59"/>
      </w:pPr>
      <w:r>
        <w:rPr>
          <w:rFonts w:hint="eastAsia"/>
        </w:rPr>
        <w:t>7</w:t>
      </w:r>
      <w:r>
        <w:rPr>
          <w:rFonts w:hint="eastAsia"/>
          <w:spacing w:val="20"/>
        </w:rPr>
        <w:t>.</w:t>
      </w:r>
      <w:r>
        <w:rPr>
          <w:rFonts w:hint="eastAsia"/>
        </w:rPr>
        <w:t>1　技术服务</w:t>
      </w:r>
    </w:p>
    <w:p w14:paraId="04E447D9">
      <w:pPr>
        <w:topLinePunct/>
        <w:spacing w:line="312" w:lineRule="exact"/>
        <w:ind w:firstLine="420" w:firstLineChars="200"/>
        <w:rPr>
          <w:snapToGrid w:val="0"/>
          <w:szCs w:val="21"/>
        </w:rPr>
      </w:pPr>
      <w:r>
        <w:rPr>
          <w:rFonts w:hint="eastAsia"/>
          <w:snapToGrid w:val="0"/>
          <w:szCs w:val="21"/>
        </w:rPr>
        <w:t>任务和责任：</w:t>
      </w:r>
    </w:p>
    <w:p w14:paraId="3DF3D581">
      <w:pPr>
        <w:ind w:left="840" w:hanging="420"/>
      </w:pPr>
      <w:r>
        <w:t>a</w:t>
      </w:r>
      <w:r>
        <w:rPr>
          <w:rFonts w:hint="eastAsia"/>
        </w:rPr>
        <w:t>）</w:t>
      </w:r>
      <w:r>
        <w:tab/>
      </w:r>
      <w:r>
        <w:rPr>
          <w:rFonts w:hint="eastAsia"/>
        </w:rPr>
        <w:t>投标人技术人员应按合同规定完成有关产品的服务。</w:t>
      </w:r>
    </w:p>
    <w:p w14:paraId="0A2CFBDC">
      <w:pPr>
        <w:ind w:left="840" w:hanging="420"/>
      </w:pPr>
      <w:r>
        <w:t>b</w:t>
      </w:r>
      <w:r>
        <w:rPr>
          <w:rFonts w:hint="eastAsia"/>
        </w:rPr>
        <w:t>）</w:t>
      </w:r>
      <w:r>
        <w:tab/>
      </w:r>
      <w:r>
        <w:rPr>
          <w:rFonts w:hint="eastAsia"/>
        </w:rPr>
        <w:t>投标人技术人员应对招标人人员详细地解释技术文件、产品特性、分析方法和有关的注意事项等，以及解答和解决招标人在合同范围内提出的技术问题。</w:t>
      </w:r>
    </w:p>
    <w:p w14:paraId="58F8AD53">
      <w:pPr>
        <w:ind w:left="840" w:hanging="420"/>
      </w:pPr>
      <w:r>
        <w:t>c</w:t>
      </w:r>
      <w:r>
        <w:rPr>
          <w:rFonts w:hint="eastAsia"/>
        </w:rPr>
        <w:t>）</w:t>
      </w:r>
      <w:r>
        <w:tab/>
      </w:r>
      <w:r>
        <w:rPr>
          <w:rFonts w:hint="eastAsia"/>
        </w:rPr>
        <w:t>投标人技术人员的技术指导应是正确的，如因错误指导而引起产品和材料的损坏，投标人应负责修复、更换和（或）补充，费用由投标人承担，该费用中还包括进行修补期间所发生的服务费。招标人的有关技术人员应尊重卖方技术人员的技术指导。</w:t>
      </w:r>
    </w:p>
    <w:p w14:paraId="09137851">
      <w:pPr>
        <w:ind w:left="840" w:hanging="420"/>
      </w:pPr>
      <w:r>
        <w:rPr>
          <w:rFonts w:hint="eastAsia"/>
        </w:rPr>
        <w:t>d）</w:t>
      </w:r>
      <w:r>
        <w:tab/>
      </w:r>
      <w:r>
        <w:rPr>
          <w:rFonts w:hint="eastAsia"/>
        </w:rPr>
        <w:t>投标人代表应充分理解招标人对工作提出的技术和质量方面的意见和建议，使产品达到双方都满意的质量。</w:t>
      </w:r>
      <w:bookmarkStart w:id="17" w:name="_Toc327369532"/>
    </w:p>
    <w:bookmarkEnd w:id="17"/>
    <w:p w14:paraId="636F1BD1">
      <w:pPr>
        <w:pStyle w:val="59"/>
      </w:pPr>
      <w:r>
        <w:rPr>
          <w:rFonts w:hint="eastAsia"/>
        </w:rPr>
        <w:t>7</w:t>
      </w:r>
      <w:r>
        <w:rPr>
          <w:rFonts w:hint="eastAsia"/>
          <w:spacing w:val="20"/>
        </w:rPr>
        <w:t>.</w:t>
      </w:r>
      <w:r>
        <w:rPr>
          <w:rFonts w:hint="eastAsia"/>
        </w:rPr>
        <w:t>2　</w:t>
      </w:r>
      <w:r>
        <w:rPr>
          <w:rFonts w:hint="eastAsia"/>
          <w:snapToGrid w:val="0"/>
        </w:rPr>
        <w:t>工厂检验</w:t>
      </w:r>
    </w:p>
    <w:p w14:paraId="72AE71E6">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招标人有权派遣其检验人员到投标人的车间场所，对合同产品的加工制造进行检验。</w:t>
      </w:r>
    </w:p>
    <w:p w14:paraId="01046668">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如经检验和试验有不符合技术规范的合同产品，招标人可以拒收，投标人应无偿给予更换。</w:t>
      </w:r>
    </w:p>
    <w:p w14:paraId="32D8BE5B">
      <w:pPr>
        <w:topLinePunct/>
        <w:spacing w:line="312" w:lineRule="exact"/>
        <w:rPr>
          <w:rFonts w:hint="eastAsia"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产品运到招标人后，招标人有进行检验、试验和拒收（如果必要时）的权力，不得因该合同产品在原产地发运以前已经由招标人或其代表进行过检验并已通过作为理由而受到限制。投标人应在开始进行工厂试验前</w:t>
      </w:r>
      <w:r>
        <w:rPr>
          <w:rFonts w:hint="eastAsia" w:ascii="宋体" w:hAnsi="宋体"/>
          <w:snapToGrid w:val="0"/>
          <w:szCs w:val="21"/>
          <w:u w:val="single"/>
        </w:rPr>
        <w:t>　3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2　</w:t>
      </w:r>
      <w:r>
        <w:rPr>
          <w:rFonts w:hint="eastAsia" w:ascii="宋体" w:hAnsi="宋体"/>
          <w:snapToGrid w:val="0"/>
          <w:szCs w:val="21"/>
        </w:rPr>
        <w:t>天内通知投标人。招标人技术人员前往投标人生产现场，观察和了解该合同产品工厂试验的情况及其运输包装的情况时，若发现任一货物的质量不符合合同规定的标准，或包装不满足要求，招标人技术人员有权发表意见，投标人应认真考虑其意见，并采取必要措施以确保合同产品的质量。</w:t>
      </w:r>
    </w:p>
    <w:p w14:paraId="4C2C044E">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若招标人不派或未按时派遣技术人员参加上述试验，投标人应在接到招标人相关通知后，自行组织检验。</w:t>
      </w:r>
    </w:p>
    <w:p w14:paraId="2CF19C3D">
      <w:pPr>
        <w:pStyle w:val="59"/>
      </w:pPr>
      <w:bookmarkStart w:id="18" w:name="_Toc178439789"/>
      <w:bookmarkStart w:id="19" w:name="_Toc269375989"/>
      <w:r>
        <w:rPr>
          <w:rFonts w:hint="eastAsia"/>
        </w:rPr>
        <w:t>7</w:t>
      </w:r>
      <w:r>
        <w:rPr>
          <w:rFonts w:hint="eastAsia"/>
          <w:spacing w:val="20"/>
        </w:rPr>
        <w:t>.3</w:t>
      </w:r>
      <w:r>
        <w:rPr>
          <w:rFonts w:hint="eastAsia"/>
        </w:rPr>
        <w:t>　</w:t>
      </w:r>
      <w:r>
        <w:rPr>
          <w:rFonts w:hint="eastAsia"/>
          <w:snapToGrid w:val="0"/>
        </w:rPr>
        <w:t>售后服务</w:t>
      </w:r>
    </w:p>
    <w:bookmarkEnd w:id="18"/>
    <w:bookmarkEnd w:id="19"/>
    <w:p w14:paraId="40D6E531">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保修期内产品出现不符合功能和技术指标要求的，供方应负责无偿修理或更换；保修期外供方更换损坏的产品，按成本收取维修费用。</w:t>
      </w:r>
    </w:p>
    <w:p w14:paraId="70BC92DE">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62A61A30">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出现异常、产品缺陷、元件损坏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小时内响应，并立即派出项目技术人员在</w:t>
      </w:r>
      <w:r>
        <w:rPr>
          <w:snapToGrid w:val="0"/>
          <w:kern w:val="0"/>
          <w:szCs w:val="21"/>
        </w:rPr>
        <w:t>48</w:t>
      </w:r>
      <w:r>
        <w:rPr>
          <w:rFonts w:hint="eastAsia"/>
          <w:snapToGrid w:val="0"/>
          <w:kern w:val="0"/>
          <w:szCs w:val="21"/>
        </w:rPr>
        <w:t>小时内到达现场进行处理。</w:t>
      </w:r>
    </w:p>
    <w:p w14:paraId="55625243">
      <w:pPr>
        <w:pStyle w:val="60"/>
        <w:outlineLvl w:val="0"/>
      </w:pPr>
      <w:bookmarkStart w:id="20" w:name="_Toc438720048"/>
      <w:r>
        <w:rPr>
          <w:rFonts w:hint="eastAsia"/>
        </w:rPr>
        <w:t>8　报价表</w:t>
      </w:r>
      <w:bookmarkEnd w:id="20"/>
    </w:p>
    <w:p w14:paraId="70D25C9D">
      <w:pPr>
        <w:topLinePunct/>
        <w:spacing w:line="312" w:lineRule="exact"/>
        <w:ind w:firstLine="420"/>
        <w:rPr>
          <w:szCs w:val="21"/>
        </w:rPr>
      </w:pPr>
      <w:r>
        <w:rPr>
          <w:rFonts w:hint="eastAsia"/>
          <w:szCs w:val="21"/>
        </w:rPr>
        <w:t>报价表分为报价汇总表、分项报价表、</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p w14:paraId="3562D62E">
      <w:pPr>
        <w:topLinePunct/>
        <w:spacing w:line="312" w:lineRule="exact"/>
        <w:ind w:firstLine="420"/>
        <w:rPr>
          <w:szCs w:val="21"/>
        </w:rPr>
      </w:pPr>
    </w:p>
    <w:p w14:paraId="03D8FE4C">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p>
    <w:tbl>
      <w:tblPr>
        <w:tblStyle w:val="38"/>
        <w:tblW w:w="13060" w:type="dxa"/>
        <w:tblInd w:w="97" w:type="dxa"/>
        <w:tblLayout w:type="fixed"/>
        <w:tblCellMar>
          <w:top w:w="0" w:type="dxa"/>
          <w:left w:w="108" w:type="dxa"/>
          <w:bottom w:w="0" w:type="dxa"/>
          <w:right w:w="108" w:type="dxa"/>
        </w:tblCellMar>
      </w:tblPr>
      <w:tblGrid>
        <w:gridCol w:w="720"/>
        <w:gridCol w:w="2084"/>
        <w:gridCol w:w="2397"/>
        <w:gridCol w:w="1561"/>
        <w:gridCol w:w="1279"/>
        <w:gridCol w:w="1665"/>
        <w:gridCol w:w="1678"/>
        <w:gridCol w:w="1676"/>
      </w:tblGrid>
      <w:tr w14:paraId="0BEAB8A3">
        <w:tblPrEx>
          <w:tblCellMar>
            <w:top w:w="0" w:type="dxa"/>
            <w:left w:w="108" w:type="dxa"/>
            <w:bottom w:w="0" w:type="dxa"/>
            <w:right w:w="108" w:type="dxa"/>
          </w:tblCellMar>
        </w:tblPrEx>
        <w:trPr>
          <w:trHeight w:val="1355" w:hRule="atLeast"/>
        </w:trPr>
        <w:tc>
          <w:tcPr>
            <w:tcW w:w="13060" w:type="dxa"/>
            <w:gridSpan w:val="8"/>
            <w:tcBorders>
              <w:top w:val="nil"/>
              <w:left w:val="nil"/>
              <w:bottom w:val="single" w:color="auto" w:sz="4" w:space="0"/>
              <w:right w:val="nil"/>
            </w:tcBorders>
            <w:shd w:val="clear" w:color="auto" w:fill="auto"/>
            <w:vAlign w:val="center"/>
          </w:tcPr>
          <w:p w14:paraId="4DE9583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报价汇总表</w:t>
            </w:r>
          </w:p>
        </w:tc>
      </w:tr>
      <w:tr w14:paraId="5F059984">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6B9F99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2084" w:type="dxa"/>
            <w:tcBorders>
              <w:top w:val="nil"/>
              <w:left w:val="nil"/>
              <w:bottom w:val="single" w:color="auto" w:sz="4" w:space="0"/>
              <w:right w:val="single" w:color="auto" w:sz="4" w:space="0"/>
            </w:tcBorders>
            <w:shd w:val="clear" w:color="auto" w:fill="auto"/>
            <w:vAlign w:val="center"/>
          </w:tcPr>
          <w:p w14:paraId="67A8EE6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名称</w:t>
            </w:r>
          </w:p>
        </w:tc>
        <w:tc>
          <w:tcPr>
            <w:tcW w:w="2397" w:type="dxa"/>
            <w:tcBorders>
              <w:top w:val="nil"/>
              <w:left w:val="nil"/>
              <w:bottom w:val="single" w:color="auto" w:sz="4" w:space="0"/>
              <w:right w:val="single" w:color="auto" w:sz="4" w:space="0"/>
            </w:tcBorders>
            <w:shd w:val="clear" w:color="auto" w:fill="auto"/>
            <w:vAlign w:val="center"/>
          </w:tcPr>
          <w:p w14:paraId="56CF738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规格型号</w:t>
            </w:r>
          </w:p>
        </w:tc>
        <w:tc>
          <w:tcPr>
            <w:tcW w:w="1561" w:type="dxa"/>
            <w:tcBorders>
              <w:top w:val="nil"/>
              <w:left w:val="nil"/>
              <w:bottom w:val="single" w:color="auto" w:sz="4" w:space="0"/>
              <w:right w:val="single" w:color="auto" w:sz="4" w:space="0"/>
            </w:tcBorders>
            <w:shd w:val="clear" w:color="auto" w:fill="auto"/>
            <w:vAlign w:val="center"/>
          </w:tcPr>
          <w:p w14:paraId="6F90217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1279" w:type="dxa"/>
            <w:tcBorders>
              <w:top w:val="nil"/>
              <w:left w:val="nil"/>
              <w:bottom w:val="single" w:color="auto" w:sz="4" w:space="0"/>
              <w:right w:val="single" w:color="auto" w:sz="4" w:space="0"/>
            </w:tcBorders>
            <w:shd w:val="clear" w:color="auto" w:fill="auto"/>
            <w:vAlign w:val="center"/>
          </w:tcPr>
          <w:p w14:paraId="0761A6A2">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数量</w:t>
            </w:r>
          </w:p>
        </w:tc>
        <w:tc>
          <w:tcPr>
            <w:tcW w:w="1665" w:type="dxa"/>
            <w:tcBorders>
              <w:top w:val="nil"/>
              <w:left w:val="nil"/>
              <w:bottom w:val="single" w:color="auto" w:sz="4" w:space="0"/>
              <w:right w:val="single" w:color="auto" w:sz="4" w:space="0"/>
            </w:tcBorders>
            <w:shd w:val="clear" w:color="auto" w:fill="auto"/>
            <w:vAlign w:val="center"/>
          </w:tcPr>
          <w:p w14:paraId="48424FD2">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单价</w:t>
            </w:r>
          </w:p>
        </w:tc>
        <w:tc>
          <w:tcPr>
            <w:tcW w:w="1678" w:type="dxa"/>
            <w:tcBorders>
              <w:top w:val="nil"/>
              <w:left w:val="nil"/>
              <w:bottom w:val="single" w:color="auto" w:sz="4" w:space="0"/>
              <w:right w:val="single" w:color="auto" w:sz="4" w:space="0"/>
            </w:tcBorders>
            <w:shd w:val="clear" w:color="auto" w:fill="auto"/>
            <w:vAlign w:val="center"/>
          </w:tcPr>
          <w:p w14:paraId="32FD034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合计</w:t>
            </w:r>
          </w:p>
        </w:tc>
        <w:tc>
          <w:tcPr>
            <w:tcW w:w="1676" w:type="dxa"/>
            <w:tcBorders>
              <w:top w:val="nil"/>
              <w:left w:val="nil"/>
              <w:bottom w:val="single" w:color="auto" w:sz="4" w:space="0"/>
              <w:right w:val="single" w:color="auto" w:sz="4" w:space="0"/>
            </w:tcBorders>
            <w:shd w:val="clear" w:color="auto" w:fill="auto"/>
            <w:vAlign w:val="center"/>
          </w:tcPr>
          <w:p w14:paraId="2F72B7E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其他说明</w:t>
            </w:r>
          </w:p>
        </w:tc>
      </w:tr>
      <w:tr w14:paraId="7094437F">
        <w:tblPrEx>
          <w:tblCellMar>
            <w:top w:w="0" w:type="dxa"/>
            <w:left w:w="108" w:type="dxa"/>
            <w:bottom w:w="0" w:type="dxa"/>
            <w:right w:w="108" w:type="dxa"/>
          </w:tblCellMar>
        </w:tblPrEx>
        <w:trPr>
          <w:trHeight w:val="323"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74DF482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2084" w:type="dxa"/>
            <w:tcBorders>
              <w:top w:val="nil"/>
              <w:left w:val="nil"/>
              <w:bottom w:val="single" w:color="auto" w:sz="4" w:space="0"/>
              <w:right w:val="single" w:color="auto" w:sz="4" w:space="0"/>
            </w:tcBorders>
            <w:shd w:val="clear" w:color="auto" w:fill="auto"/>
            <w:vAlign w:val="center"/>
          </w:tcPr>
          <w:p w14:paraId="34E0BD6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漆包圆铜线加工费</w:t>
            </w:r>
          </w:p>
        </w:tc>
        <w:tc>
          <w:tcPr>
            <w:tcW w:w="2397" w:type="dxa"/>
            <w:tcBorders>
              <w:top w:val="nil"/>
              <w:left w:val="nil"/>
              <w:bottom w:val="single" w:color="auto" w:sz="4" w:space="0"/>
              <w:right w:val="single" w:color="auto" w:sz="4" w:space="0"/>
            </w:tcBorders>
            <w:shd w:val="clear" w:color="auto" w:fill="auto"/>
            <w:vAlign w:val="center"/>
          </w:tcPr>
          <w:p w14:paraId="2CCF680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QZ-2  φ2.12/φ2.22</w:t>
            </w:r>
          </w:p>
        </w:tc>
        <w:tc>
          <w:tcPr>
            <w:tcW w:w="1561" w:type="dxa"/>
            <w:tcBorders>
              <w:top w:val="nil"/>
              <w:left w:val="nil"/>
              <w:bottom w:val="single" w:color="auto" w:sz="4" w:space="0"/>
              <w:right w:val="single" w:color="auto" w:sz="4" w:space="0"/>
            </w:tcBorders>
            <w:shd w:val="clear" w:color="auto" w:fill="auto"/>
            <w:vAlign w:val="center"/>
          </w:tcPr>
          <w:p w14:paraId="2BD7545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公斤</w:t>
            </w:r>
          </w:p>
        </w:tc>
        <w:tc>
          <w:tcPr>
            <w:tcW w:w="1279" w:type="dxa"/>
            <w:tcBorders>
              <w:top w:val="nil"/>
              <w:left w:val="nil"/>
              <w:bottom w:val="single" w:color="auto" w:sz="4" w:space="0"/>
              <w:right w:val="single" w:color="auto" w:sz="4" w:space="0"/>
            </w:tcBorders>
            <w:shd w:val="clear" w:color="auto" w:fill="auto"/>
            <w:vAlign w:val="center"/>
          </w:tcPr>
          <w:p w14:paraId="7ECBB8D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665" w:type="dxa"/>
            <w:tcBorders>
              <w:top w:val="nil"/>
              <w:left w:val="nil"/>
              <w:bottom w:val="single" w:color="auto" w:sz="4" w:space="0"/>
              <w:right w:val="single" w:color="auto" w:sz="4" w:space="0"/>
            </w:tcBorders>
            <w:shd w:val="clear" w:color="auto" w:fill="auto"/>
            <w:vAlign w:val="center"/>
          </w:tcPr>
          <w:p w14:paraId="687E05A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678" w:type="dxa"/>
            <w:tcBorders>
              <w:top w:val="nil"/>
              <w:left w:val="nil"/>
              <w:bottom w:val="single" w:color="auto" w:sz="4" w:space="0"/>
              <w:right w:val="single" w:color="auto" w:sz="4" w:space="0"/>
            </w:tcBorders>
            <w:shd w:val="clear" w:color="auto" w:fill="auto"/>
            <w:vAlign w:val="center"/>
          </w:tcPr>
          <w:p w14:paraId="45AB24A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676" w:type="dxa"/>
            <w:tcBorders>
              <w:top w:val="nil"/>
              <w:left w:val="nil"/>
              <w:bottom w:val="single" w:color="auto" w:sz="4" w:space="0"/>
              <w:right w:val="single" w:color="auto" w:sz="4" w:space="0"/>
            </w:tcBorders>
            <w:shd w:val="clear" w:color="auto" w:fill="auto"/>
            <w:vAlign w:val="center"/>
          </w:tcPr>
          <w:p w14:paraId="51A98D0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0A9D9053">
        <w:tblPrEx>
          <w:tblCellMar>
            <w:top w:w="0" w:type="dxa"/>
            <w:left w:w="108" w:type="dxa"/>
            <w:bottom w:w="0" w:type="dxa"/>
            <w:right w:w="108" w:type="dxa"/>
          </w:tblCellMar>
        </w:tblPrEx>
        <w:trPr>
          <w:trHeight w:val="287" w:hRule="atLeast"/>
        </w:trPr>
        <w:tc>
          <w:tcPr>
            <w:tcW w:w="804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F44E73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总计</w:t>
            </w:r>
          </w:p>
        </w:tc>
        <w:tc>
          <w:tcPr>
            <w:tcW w:w="1665" w:type="dxa"/>
            <w:tcBorders>
              <w:top w:val="nil"/>
              <w:left w:val="nil"/>
              <w:bottom w:val="single" w:color="auto" w:sz="4" w:space="0"/>
              <w:right w:val="single" w:color="auto" w:sz="4" w:space="0"/>
            </w:tcBorders>
            <w:shd w:val="clear" w:color="auto" w:fill="auto"/>
            <w:vAlign w:val="center"/>
          </w:tcPr>
          <w:p w14:paraId="11676FB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678" w:type="dxa"/>
            <w:tcBorders>
              <w:top w:val="nil"/>
              <w:left w:val="nil"/>
              <w:bottom w:val="single" w:color="auto" w:sz="4" w:space="0"/>
              <w:right w:val="single" w:color="auto" w:sz="4" w:space="0"/>
            </w:tcBorders>
            <w:shd w:val="clear" w:color="auto" w:fill="auto"/>
            <w:vAlign w:val="center"/>
          </w:tcPr>
          <w:p w14:paraId="4834A80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676" w:type="dxa"/>
            <w:tcBorders>
              <w:top w:val="nil"/>
              <w:left w:val="nil"/>
              <w:bottom w:val="single" w:color="auto" w:sz="4" w:space="0"/>
              <w:right w:val="single" w:color="auto" w:sz="4" w:space="0"/>
            </w:tcBorders>
            <w:shd w:val="clear" w:color="auto" w:fill="auto"/>
            <w:vAlign w:val="center"/>
          </w:tcPr>
          <w:p w14:paraId="271FD0E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48F1887A">
        <w:tblPrEx>
          <w:tblCellMar>
            <w:top w:w="0" w:type="dxa"/>
            <w:left w:w="108" w:type="dxa"/>
            <w:bottom w:w="0" w:type="dxa"/>
            <w:right w:w="108" w:type="dxa"/>
          </w:tblCellMar>
        </w:tblPrEx>
        <w:trPr>
          <w:trHeight w:val="414" w:hRule="atLeast"/>
        </w:trPr>
        <w:tc>
          <w:tcPr>
            <w:tcW w:w="13060"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59B67D4B">
            <w:pPr>
              <w:rPr>
                <w:rFonts w:hint="eastAsia" w:ascii="宋体" w:hAnsi="宋体" w:cs="宋体"/>
                <w:color w:val="000000"/>
                <w:kern w:val="0"/>
                <w:sz w:val="22"/>
                <w:szCs w:val="22"/>
              </w:rPr>
            </w:pPr>
            <w:r>
              <w:rPr>
                <w:rFonts w:hint="eastAsia"/>
                <w:color w:val="000000"/>
                <w:sz w:val="22"/>
                <w:szCs w:val="22"/>
              </w:rPr>
              <w:t>说明：1、投标单位需严格按照此格式进行报价。</w:t>
            </w:r>
          </w:p>
        </w:tc>
      </w:tr>
      <w:tr w14:paraId="243AAFE7">
        <w:tblPrEx>
          <w:tblCellMar>
            <w:top w:w="0" w:type="dxa"/>
            <w:left w:w="108" w:type="dxa"/>
            <w:bottom w:w="0" w:type="dxa"/>
            <w:right w:w="108" w:type="dxa"/>
          </w:tblCellMar>
        </w:tblPrEx>
        <w:trPr>
          <w:trHeight w:val="414" w:hRule="atLeast"/>
        </w:trPr>
        <w:tc>
          <w:tcPr>
            <w:tcW w:w="13060"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750D8F2D">
            <w:pPr>
              <w:rPr>
                <w:rFonts w:hint="eastAsia" w:ascii="宋体" w:hAnsi="宋体" w:cs="宋体"/>
                <w:color w:val="000000"/>
                <w:kern w:val="0"/>
                <w:sz w:val="22"/>
                <w:szCs w:val="22"/>
              </w:rPr>
            </w:pPr>
            <w:r>
              <w:rPr>
                <w:rFonts w:hint="eastAsia"/>
                <w:color w:val="000000"/>
                <w:sz w:val="22"/>
                <w:szCs w:val="22"/>
              </w:rPr>
              <w:t>2、</w:t>
            </w:r>
            <w:r>
              <w:rPr>
                <w:rFonts w:hint="eastAsia" w:ascii="宋体" w:hAnsi="宋体" w:cs="宋体"/>
                <w:color w:val="000000"/>
                <w:kern w:val="0"/>
                <w:sz w:val="22"/>
                <w:szCs w:val="22"/>
              </w:rPr>
              <w:t>招标报价只报加工费用。</w:t>
            </w:r>
          </w:p>
        </w:tc>
      </w:tr>
      <w:tr w14:paraId="5C27D3DB">
        <w:tblPrEx>
          <w:tblCellMar>
            <w:top w:w="0" w:type="dxa"/>
            <w:left w:w="108" w:type="dxa"/>
            <w:bottom w:w="0" w:type="dxa"/>
            <w:right w:w="108" w:type="dxa"/>
          </w:tblCellMar>
        </w:tblPrEx>
        <w:trPr>
          <w:trHeight w:val="421" w:hRule="atLeast"/>
        </w:trPr>
        <w:tc>
          <w:tcPr>
            <w:tcW w:w="13060"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7A7B02D0">
            <w:pPr>
              <w:rPr>
                <w:rFonts w:hint="eastAsia" w:ascii="宋体" w:hAnsi="宋体" w:cs="宋体"/>
                <w:color w:val="000000"/>
                <w:kern w:val="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3、本招标为年度框架招标，本报价仅列出常用型号，用户报价时需提供产品样本及价格表，如采购时产生不在本报价型号的产品型号，则产品单价将按对应中标金额计算。项目价另议。</w:t>
            </w:r>
          </w:p>
        </w:tc>
      </w:tr>
      <w:tr w14:paraId="7348CBE5">
        <w:tblPrEx>
          <w:tblCellMar>
            <w:top w:w="0" w:type="dxa"/>
            <w:left w:w="108" w:type="dxa"/>
            <w:bottom w:w="0" w:type="dxa"/>
            <w:right w:w="108" w:type="dxa"/>
          </w:tblCellMar>
        </w:tblPrEx>
        <w:trPr>
          <w:trHeight w:val="421" w:hRule="atLeast"/>
        </w:trPr>
        <w:tc>
          <w:tcPr>
            <w:tcW w:w="13060"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7EF760C8">
            <w:pPr>
              <w:widowControl/>
              <w:jc w:val="left"/>
              <w:rPr>
                <w:rFonts w:hint="eastAsia" w:ascii="宋体" w:hAnsi="宋体" w:cs="宋体"/>
                <w:color w:val="000000"/>
                <w:kern w:val="0"/>
                <w:sz w:val="22"/>
                <w:szCs w:val="22"/>
              </w:rPr>
            </w:pPr>
          </w:p>
        </w:tc>
      </w:tr>
    </w:tbl>
    <w:p w14:paraId="69513513">
      <w:pPr>
        <w:topLinePunct/>
        <w:spacing w:line="312" w:lineRule="exact"/>
      </w:pPr>
    </w:p>
    <w:p w14:paraId="69885DAA">
      <w:pPr>
        <w:topLinePunct/>
        <w:spacing w:line="312" w:lineRule="exact"/>
      </w:pPr>
      <w:bookmarkStart w:id="21" w:name="_GoBack"/>
      <w:bookmarkEnd w:id="21"/>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decorative"/>
    <w:pitch w:val="default"/>
    <w:sig w:usb0="00000000" w:usb1="00000000" w:usb2="00000012" w:usb3="00000000" w:csb0="00040000" w:csb1="00000000"/>
  </w:font>
  <w:font w:name="汉仪大宋简">
    <w:altName w:val="宋体"/>
    <w:panose1 w:val="00000000000000000000"/>
    <w:charset w:val="86"/>
    <w:family w:val="decorative"/>
    <w:pitch w:val="default"/>
    <w:sig w:usb0="00000000" w:usb1="00000000" w:usb2="00000012" w:usb3="00000000" w:csb0="00040000" w:csb1="00000000"/>
  </w:font>
  <w:font w:name="汉仪书宋二简">
    <w:altName w:val="宋体"/>
    <w:panose1 w:val="00000000000000000000"/>
    <w:charset w:val="86"/>
    <w:family w:val="decorative"/>
    <w:pitch w:val="default"/>
    <w:sig w:usb0="00000000" w:usb1="00000000" w:usb2="00000012" w:usb3="00000000" w:csb0="00040000" w:csb1="00000000"/>
  </w:font>
  <w:font w:name="MingLiU">
    <w:altName w:val="PMingLiU-ExtB"/>
    <w:panose1 w:val="02010609000101010101"/>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decorative"/>
    <w:pitch w:val="default"/>
    <w:sig w:usb0="00000000" w:usb1="00000000" w:usb2="00000010" w:usb3="00000000" w:csb0="00040000" w:csb1="00000000"/>
  </w:font>
  <w:font w:name="仿宋_GB2312">
    <w:altName w:val="仿宋"/>
    <w:panose1 w:val="00000000000000000000"/>
    <w:charset w:val="86"/>
    <w:family w:val="decorative"/>
    <w:pitch w:val="default"/>
    <w:sig w:usb0="00000000" w:usb1="00000000" w:usb2="0000001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57B4D">
    <w:pPr>
      <w:pStyle w:val="26"/>
      <w:jc w:val="center"/>
    </w:pPr>
    <w:r>
      <w:fldChar w:fldCharType="begin"/>
    </w:r>
    <w:r>
      <w:instrText xml:space="preserve"> PAGE   \* MERGEFORMAT </w:instrText>
    </w:r>
    <w:r>
      <w:fldChar w:fldCharType="separate"/>
    </w:r>
    <w:r>
      <w:t>3</w:t>
    </w:r>
    <w:r>
      <w:rPr>
        <w:lang w:val="zh-CN"/>
      </w:rPr>
      <w:fldChar w:fldCharType="end"/>
    </w:r>
  </w:p>
  <w:p w14:paraId="14D332DB">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DA588">
    <w:pPr>
      <w:pStyle w:val="26"/>
      <w:jc w:val="center"/>
    </w:pPr>
    <w:r>
      <w:fldChar w:fldCharType="begin"/>
    </w:r>
    <w:r>
      <w:instrText xml:space="preserve"> PAGE   \* MERGEFORMAT </w:instrText>
    </w:r>
    <w:r>
      <w:fldChar w:fldCharType="separate"/>
    </w:r>
    <w:r>
      <w:t>1</w:t>
    </w:r>
    <w:r>
      <w:rPr>
        <w:lang w:val="zh-CN"/>
      </w:rPr>
      <w:fldChar w:fldCharType="end"/>
    </w:r>
  </w:p>
  <w:p w14:paraId="7E067F8E">
    <w:pPr>
      <w:pStyle w:val="2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6B18"/>
    <w:rsid w:val="00010CA8"/>
    <w:rsid w:val="000129FA"/>
    <w:rsid w:val="00021C97"/>
    <w:rsid w:val="00026D8C"/>
    <w:rsid w:val="00027790"/>
    <w:rsid w:val="00033830"/>
    <w:rsid w:val="00045CC3"/>
    <w:rsid w:val="00052B72"/>
    <w:rsid w:val="0006061E"/>
    <w:rsid w:val="00061FA9"/>
    <w:rsid w:val="00066494"/>
    <w:rsid w:val="00072BFC"/>
    <w:rsid w:val="00073D5B"/>
    <w:rsid w:val="000769B5"/>
    <w:rsid w:val="00077CBC"/>
    <w:rsid w:val="000A7A21"/>
    <w:rsid w:val="000C6481"/>
    <w:rsid w:val="000E0865"/>
    <w:rsid w:val="000E71D5"/>
    <w:rsid w:val="000F0DBA"/>
    <w:rsid w:val="00124CF9"/>
    <w:rsid w:val="00125A87"/>
    <w:rsid w:val="001273B0"/>
    <w:rsid w:val="001313B0"/>
    <w:rsid w:val="001352A0"/>
    <w:rsid w:val="001358F8"/>
    <w:rsid w:val="00141416"/>
    <w:rsid w:val="00146BD9"/>
    <w:rsid w:val="00146E6B"/>
    <w:rsid w:val="00150D82"/>
    <w:rsid w:val="00151200"/>
    <w:rsid w:val="00155E6D"/>
    <w:rsid w:val="00167BB5"/>
    <w:rsid w:val="00172A27"/>
    <w:rsid w:val="00173B1F"/>
    <w:rsid w:val="00176673"/>
    <w:rsid w:val="00177E94"/>
    <w:rsid w:val="00185518"/>
    <w:rsid w:val="00187CDB"/>
    <w:rsid w:val="00191947"/>
    <w:rsid w:val="001A0F14"/>
    <w:rsid w:val="001A1D58"/>
    <w:rsid w:val="001B224E"/>
    <w:rsid w:val="001C3175"/>
    <w:rsid w:val="001D3F56"/>
    <w:rsid w:val="001D4A24"/>
    <w:rsid w:val="001D5A98"/>
    <w:rsid w:val="001D7370"/>
    <w:rsid w:val="001F14A2"/>
    <w:rsid w:val="001F7103"/>
    <w:rsid w:val="00203045"/>
    <w:rsid w:val="0020577B"/>
    <w:rsid w:val="002068E4"/>
    <w:rsid w:val="00206B25"/>
    <w:rsid w:val="00214237"/>
    <w:rsid w:val="00215235"/>
    <w:rsid w:val="00216405"/>
    <w:rsid w:val="00223B9C"/>
    <w:rsid w:val="00225E5E"/>
    <w:rsid w:val="00231234"/>
    <w:rsid w:val="002435A4"/>
    <w:rsid w:val="00244374"/>
    <w:rsid w:val="0024587E"/>
    <w:rsid w:val="0024602B"/>
    <w:rsid w:val="002471DD"/>
    <w:rsid w:val="00252AEC"/>
    <w:rsid w:val="00256966"/>
    <w:rsid w:val="00261356"/>
    <w:rsid w:val="00272408"/>
    <w:rsid w:val="00282E60"/>
    <w:rsid w:val="002836A9"/>
    <w:rsid w:val="00285E01"/>
    <w:rsid w:val="002A1454"/>
    <w:rsid w:val="002A42DE"/>
    <w:rsid w:val="002A660A"/>
    <w:rsid w:val="002A7817"/>
    <w:rsid w:val="002B2E6F"/>
    <w:rsid w:val="002B3EC8"/>
    <w:rsid w:val="002B590D"/>
    <w:rsid w:val="002E011C"/>
    <w:rsid w:val="002E4C2F"/>
    <w:rsid w:val="002F1B42"/>
    <w:rsid w:val="002F33B7"/>
    <w:rsid w:val="002F4C3E"/>
    <w:rsid w:val="00303F9F"/>
    <w:rsid w:val="00316B25"/>
    <w:rsid w:val="00321ACA"/>
    <w:rsid w:val="00325A4B"/>
    <w:rsid w:val="003278E4"/>
    <w:rsid w:val="003350ED"/>
    <w:rsid w:val="00342D0E"/>
    <w:rsid w:val="003446BE"/>
    <w:rsid w:val="0035001B"/>
    <w:rsid w:val="0036382B"/>
    <w:rsid w:val="00370DD9"/>
    <w:rsid w:val="00371318"/>
    <w:rsid w:val="00371960"/>
    <w:rsid w:val="0039276B"/>
    <w:rsid w:val="003A7357"/>
    <w:rsid w:val="003C27F2"/>
    <w:rsid w:val="003D15AE"/>
    <w:rsid w:val="003D5865"/>
    <w:rsid w:val="004112D2"/>
    <w:rsid w:val="0042491D"/>
    <w:rsid w:val="00425581"/>
    <w:rsid w:val="00430A12"/>
    <w:rsid w:val="00436935"/>
    <w:rsid w:val="004452CF"/>
    <w:rsid w:val="004454B6"/>
    <w:rsid w:val="00451FFE"/>
    <w:rsid w:val="00452D23"/>
    <w:rsid w:val="00464F99"/>
    <w:rsid w:val="00484986"/>
    <w:rsid w:val="00490823"/>
    <w:rsid w:val="00496952"/>
    <w:rsid w:val="004A3B04"/>
    <w:rsid w:val="004A6249"/>
    <w:rsid w:val="004B4847"/>
    <w:rsid w:val="004B68FC"/>
    <w:rsid w:val="004B7A1A"/>
    <w:rsid w:val="004D4C3E"/>
    <w:rsid w:val="004F38D0"/>
    <w:rsid w:val="004F6235"/>
    <w:rsid w:val="004F7249"/>
    <w:rsid w:val="0051013C"/>
    <w:rsid w:val="005171F8"/>
    <w:rsid w:val="00517875"/>
    <w:rsid w:val="00520783"/>
    <w:rsid w:val="0052167C"/>
    <w:rsid w:val="00523E8F"/>
    <w:rsid w:val="00525E78"/>
    <w:rsid w:val="00530EA7"/>
    <w:rsid w:val="005344AB"/>
    <w:rsid w:val="00535693"/>
    <w:rsid w:val="00537784"/>
    <w:rsid w:val="00537CF9"/>
    <w:rsid w:val="00540D02"/>
    <w:rsid w:val="005462BC"/>
    <w:rsid w:val="00546798"/>
    <w:rsid w:val="00546D74"/>
    <w:rsid w:val="0055011F"/>
    <w:rsid w:val="00556469"/>
    <w:rsid w:val="005649DA"/>
    <w:rsid w:val="005676DC"/>
    <w:rsid w:val="00571B35"/>
    <w:rsid w:val="005827F8"/>
    <w:rsid w:val="0059071D"/>
    <w:rsid w:val="005A3753"/>
    <w:rsid w:val="005B1212"/>
    <w:rsid w:val="005B4054"/>
    <w:rsid w:val="005C0C18"/>
    <w:rsid w:val="005D1FDF"/>
    <w:rsid w:val="005E1592"/>
    <w:rsid w:val="005E1B98"/>
    <w:rsid w:val="00601806"/>
    <w:rsid w:val="00606E08"/>
    <w:rsid w:val="006145F4"/>
    <w:rsid w:val="006206EA"/>
    <w:rsid w:val="00633249"/>
    <w:rsid w:val="00637FF3"/>
    <w:rsid w:val="00645E30"/>
    <w:rsid w:val="006668F2"/>
    <w:rsid w:val="00667ED6"/>
    <w:rsid w:val="006758B7"/>
    <w:rsid w:val="0068166B"/>
    <w:rsid w:val="006A3C8E"/>
    <w:rsid w:val="006B4021"/>
    <w:rsid w:val="006B5CE9"/>
    <w:rsid w:val="006C741F"/>
    <w:rsid w:val="006D0D90"/>
    <w:rsid w:val="006D4013"/>
    <w:rsid w:val="006D7C70"/>
    <w:rsid w:val="006F330A"/>
    <w:rsid w:val="006F40F2"/>
    <w:rsid w:val="00712D99"/>
    <w:rsid w:val="007316C4"/>
    <w:rsid w:val="00732EE4"/>
    <w:rsid w:val="00742004"/>
    <w:rsid w:val="00742362"/>
    <w:rsid w:val="007468D5"/>
    <w:rsid w:val="00764A6F"/>
    <w:rsid w:val="00795068"/>
    <w:rsid w:val="007A466A"/>
    <w:rsid w:val="007B7452"/>
    <w:rsid w:val="007C19BA"/>
    <w:rsid w:val="007C1A2E"/>
    <w:rsid w:val="007D151E"/>
    <w:rsid w:val="007D36A6"/>
    <w:rsid w:val="007D5311"/>
    <w:rsid w:val="007D6A90"/>
    <w:rsid w:val="007E264C"/>
    <w:rsid w:val="007E631F"/>
    <w:rsid w:val="00803E4B"/>
    <w:rsid w:val="00806AE7"/>
    <w:rsid w:val="00812AB1"/>
    <w:rsid w:val="00813604"/>
    <w:rsid w:val="00824563"/>
    <w:rsid w:val="008308D9"/>
    <w:rsid w:val="00845124"/>
    <w:rsid w:val="0084608A"/>
    <w:rsid w:val="008558F3"/>
    <w:rsid w:val="00855A6F"/>
    <w:rsid w:val="00857EFD"/>
    <w:rsid w:val="00886579"/>
    <w:rsid w:val="00887D9E"/>
    <w:rsid w:val="008936C7"/>
    <w:rsid w:val="008A5D41"/>
    <w:rsid w:val="008B0D4D"/>
    <w:rsid w:val="008B2A3C"/>
    <w:rsid w:val="008B3CDB"/>
    <w:rsid w:val="008C20C8"/>
    <w:rsid w:val="008D6CA7"/>
    <w:rsid w:val="008E210E"/>
    <w:rsid w:val="008E430D"/>
    <w:rsid w:val="008E4F3D"/>
    <w:rsid w:val="008E5827"/>
    <w:rsid w:val="00915AB6"/>
    <w:rsid w:val="00917651"/>
    <w:rsid w:val="009337BC"/>
    <w:rsid w:val="0095761E"/>
    <w:rsid w:val="0096314C"/>
    <w:rsid w:val="00983DF3"/>
    <w:rsid w:val="00996674"/>
    <w:rsid w:val="009A1695"/>
    <w:rsid w:val="009A5D36"/>
    <w:rsid w:val="009A5F72"/>
    <w:rsid w:val="009A72DB"/>
    <w:rsid w:val="009B45E3"/>
    <w:rsid w:val="009E1523"/>
    <w:rsid w:val="009E40CA"/>
    <w:rsid w:val="009E4A81"/>
    <w:rsid w:val="009E65C0"/>
    <w:rsid w:val="009E7D2C"/>
    <w:rsid w:val="009F60D9"/>
    <w:rsid w:val="00A00BA0"/>
    <w:rsid w:val="00A037CD"/>
    <w:rsid w:val="00A216F9"/>
    <w:rsid w:val="00A27D4D"/>
    <w:rsid w:val="00A41E92"/>
    <w:rsid w:val="00A463D3"/>
    <w:rsid w:val="00A51D2C"/>
    <w:rsid w:val="00A53559"/>
    <w:rsid w:val="00A85AAC"/>
    <w:rsid w:val="00A900DF"/>
    <w:rsid w:val="00A93372"/>
    <w:rsid w:val="00A95DBB"/>
    <w:rsid w:val="00A979BA"/>
    <w:rsid w:val="00AA24ED"/>
    <w:rsid w:val="00AA6DC4"/>
    <w:rsid w:val="00AB35A8"/>
    <w:rsid w:val="00AC54EF"/>
    <w:rsid w:val="00AD1D38"/>
    <w:rsid w:val="00AD7CA0"/>
    <w:rsid w:val="00AE3AF0"/>
    <w:rsid w:val="00AF6B41"/>
    <w:rsid w:val="00B04D82"/>
    <w:rsid w:val="00B36662"/>
    <w:rsid w:val="00B4117D"/>
    <w:rsid w:val="00B50432"/>
    <w:rsid w:val="00B60943"/>
    <w:rsid w:val="00B8123C"/>
    <w:rsid w:val="00B9061F"/>
    <w:rsid w:val="00B946D4"/>
    <w:rsid w:val="00BA2522"/>
    <w:rsid w:val="00BA592E"/>
    <w:rsid w:val="00BB61F7"/>
    <w:rsid w:val="00BC29F4"/>
    <w:rsid w:val="00BD261E"/>
    <w:rsid w:val="00BD4271"/>
    <w:rsid w:val="00BD7DED"/>
    <w:rsid w:val="00BD7E3C"/>
    <w:rsid w:val="00BE0372"/>
    <w:rsid w:val="00BE262E"/>
    <w:rsid w:val="00BE5AB5"/>
    <w:rsid w:val="00BF11D3"/>
    <w:rsid w:val="00BF1BCE"/>
    <w:rsid w:val="00C0401A"/>
    <w:rsid w:val="00C1068F"/>
    <w:rsid w:val="00C10D34"/>
    <w:rsid w:val="00C12F2F"/>
    <w:rsid w:val="00C173ED"/>
    <w:rsid w:val="00C27061"/>
    <w:rsid w:val="00C30A45"/>
    <w:rsid w:val="00C31F24"/>
    <w:rsid w:val="00C43771"/>
    <w:rsid w:val="00C4463A"/>
    <w:rsid w:val="00C51C65"/>
    <w:rsid w:val="00C63D0F"/>
    <w:rsid w:val="00C7132A"/>
    <w:rsid w:val="00C71565"/>
    <w:rsid w:val="00C8209C"/>
    <w:rsid w:val="00C858EA"/>
    <w:rsid w:val="00C91614"/>
    <w:rsid w:val="00C969AE"/>
    <w:rsid w:val="00CD1EE2"/>
    <w:rsid w:val="00CD32B4"/>
    <w:rsid w:val="00CE07C7"/>
    <w:rsid w:val="00CE338D"/>
    <w:rsid w:val="00CE6474"/>
    <w:rsid w:val="00CF1ABA"/>
    <w:rsid w:val="00CF4144"/>
    <w:rsid w:val="00D06054"/>
    <w:rsid w:val="00D07A2E"/>
    <w:rsid w:val="00D135CE"/>
    <w:rsid w:val="00D16E3D"/>
    <w:rsid w:val="00D2191D"/>
    <w:rsid w:val="00D24413"/>
    <w:rsid w:val="00D372D8"/>
    <w:rsid w:val="00D4391A"/>
    <w:rsid w:val="00D44C09"/>
    <w:rsid w:val="00D57501"/>
    <w:rsid w:val="00D6378E"/>
    <w:rsid w:val="00D832F2"/>
    <w:rsid w:val="00DA46BD"/>
    <w:rsid w:val="00DB28D4"/>
    <w:rsid w:val="00DB37A2"/>
    <w:rsid w:val="00DC5EFD"/>
    <w:rsid w:val="00DE0103"/>
    <w:rsid w:val="00DE0835"/>
    <w:rsid w:val="00DE4135"/>
    <w:rsid w:val="00DE4259"/>
    <w:rsid w:val="00DE6026"/>
    <w:rsid w:val="00DF448D"/>
    <w:rsid w:val="00DF44F3"/>
    <w:rsid w:val="00E1179E"/>
    <w:rsid w:val="00E242D2"/>
    <w:rsid w:val="00E24F51"/>
    <w:rsid w:val="00E304C0"/>
    <w:rsid w:val="00E33ED8"/>
    <w:rsid w:val="00E35B94"/>
    <w:rsid w:val="00E46590"/>
    <w:rsid w:val="00E467A4"/>
    <w:rsid w:val="00E506B2"/>
    <w:rsid w:val="00E70EF5"/>
    <w:rsid w:val="00E7127C"/>
    <w:rsid w:val="00E740AD"/>
    <w:rsid w:val="00E96BDF"/>
    <w:rsid w:val="00EA135C"/>
    <w:rsid w:val="00EB37D7"/>
    <w:rsid w:val="00EB4034"/>
    <w:rsid w:val="00EB6EB0"/>
    <w:rsid w:val="00ED202D"/>
    <w:rsid w:val="00ED410A"/>
    <w:rsid w:val="00ED6417"/>
    <w:rsid w:val="00EE463C"/>
    <w:rsid w:val="00F01888"/>
    <w:rsid w:val="00F01EEE"/>
    <w:rsid w:val="00F15F86"/>
    <w:rsid w:val="00F16435"/>
    <w:rsid w:val="00F424CA"/>
    <w:rsid w:val="00F446C8"/>
    <w:rsid w:val="00F66FBA"/>
    <w:rsid w:val="00F80426"/>
    <w:rsid w:val="00F86357"/>
    <w:rsid w:val="00F86E10"/>
    <w:rsid w:val="00FA1D61"/>
    <w:rsid w:val="00FA4A18"/>
    <w:rsid w:val="00FB0704"/>
    <w:rsid w:val="00FB3FA5"/>
    <w:rsid w:val="00FB5ED2"/>
    <w:rsid w:val="00FB6B13"/>
    <w:rsid w:val="00FC73DF"/>
    <w:rsid w:val="00FD70BE"/>
    <w:rsid w:val="00FE6D7C"/>
    <w:rsid w:val="014B38AD"/>
    <w:rsid w:val="031D37A8"/>
    <w:rsid w:val="05793607"/>
    <w:rsid w:val="06443FD4"/>
    <w:rsid w:val="06C63181"/>
    <w:rsid w:val="088F6118"/>
    <w:rsid w:val="0986659E"/>
    <w:rsid w:val="0AB4001B"/>
    <w:rsid w:val="0B403483"/>
    <w:rsid w:val="0B95098E"/>
    <w:rsid w:val="0C747083"/>
    <w:rsid w:val="113228FE"/>
    <w:rsid w:val="117B32BD"/>
    <w:rsid w:val="13205B6C"/>
    <w:rsid w:val="14C64FA3"/>
    <w:rsid w:val="15411A4F"/>
    <w:rsid w:val="175F4C67"/>
    <w:rsid w:val="19162CB4"/>
    <w:rsid w:val="1C1945A6"/>
    <w:rsid w:val="1E9F5249"/>
    <w:rsid w:val="1FEB532F"/>
    <w:rsid w:val="222A579A"/>
    <w:rsid w:val="27C2034A"/>
    <w:rsid w:val="286C4F60"/>
    <w:rsid w:val="29167977"/>
    <w:rsid w:val="2933137D"/>
    <w:rsid w:val="299D2FAB"/>
    <w:rsid w:val="2A2B02EC"/>
    <w:rsid w:val="2AE930F5"/>
    <w:rsid w:val="2D2F6832"/>
    <w:rsid w:val="306D1203"/>
    <w:rsid w:val="30BE4485"/>
    <w:rsid w:val="32055AA1"/>
    <w:rsid w:val="343F0843"/>
    <w:rsid w:val="363E3B8C"/>
    <w:rsid w:val="36462F32"/>
    <w:rsid w:val="36CE0F9D"/>
    <w:rsid w:val="38910B5D"/>
    <w:rsid w:val="3A8D3E1B"/>
    <w:rsid w:val="3CAB27D3"/>
    <w:rsid w:val="3D504924"/>
    <w:rsid w:val="3FA00970"/>
    <w:rsid w:val="41F9564C"/>
    <w:rsid w:val="44701E80"/>
    <w:rsid w:val="45AB21DA"/>
    <w:rsid w:val="4763732D"/>
    <w:rsid w:val="49023556"/>
    <w:rsid w:val="49224D48"/>
    <w:rsid w:val="49464F44"/>
    <w:rsid w:val="494707C7"/>
    <w:rsid w:val="4A8423CD"/>
    <w:rsid w:val="4DE51ADA"/>
    <w:rsid w:val="4DEA3A2A"/>
    <w:rsid w:val="4DEE01EB"/>
    <w:rsid w:val="4ED107DE"/>
    <w:rsid w:val="4F7E1BFB"/>
    <w:rsid w:val="505605DA"/>
    <w:rsid w:val="50C54111"/>
    <w:rsid w:val="514A216C"/>
    <w:rsid w:val="53E57531"/>
    <w:rsid w:val="548B3542"/>
    <w:rsid w:val="5552550A"/>
    <w:rsid w:val="58502974"/>
    <w:rsid w:val="59114FB0"/>
    <w:rsid w:val="5B88343B"/>
    <w:rsid w:val="5B93724D"/>
    <w:rsid w:val="5DE47A17"/>
    <w:rsid w:val="5E2A018B"/>
    <w:rsid w:val="5F62370B"/>
    <w:rsid w:val="5F9B4B6A"/>
    <w:rsid w:val="61F749C9"/>
    <w:rsid w:val="64066817"/>
    <w:rsid w:val="6A4D4AF3"/>
    <w:rsid w:val="6B8C3281"/>
    <w:rsid w:val="6DCB5D2E"/>
    <w:rsid w:val="6F21085E"/>
    <w:rsid w:val="70515157"/>
    <w:rsid w:val="74152900"/>
    <w:rsid w:val="744B0850"/>
    <w:rsid w:val="7F1A2313"/>
    <w:rsid w:val="7FBE4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0"/>
    <w:pPr>
      <w:keepNext/>
      <w:spacing w:line="240" w:lineRule="atLeast"/>
      <w:jc w:val="right"/>
      <w:outlineLvl w:val="0"/>
    </w:pPr>
    <w:rPr>
      <w:b/>
      <w:bCs/>
      <w:sz w:val="28"/>
    </w:rPr>
  </w:style>
  <w:style w:type="paragraph" w:styleId="3">
    <w:name w:val="heading 2"/>
    <w:basedOn w:val="1"/>
    <w:next w:val="1"/>
    <w:link w:val="47"/>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8"/>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49"/>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0"/>
    <w:qFormat/>
    <w:uiPriority w:val="0"/>
    <w:pPr>
      <w:keepNext/>
      <w:keepLines/>
      <w:spacing w:line="360" w:lineRule="auto"/>
      <w:outlineLvl w:val="4"/>
    </w:pPr>
    <w:rPr>
      <w:rFonts w:eastAsia="黑体"/>
      <w:szCs w:val="20"/>
    </w:rPr>
  </w:style>
  <w:style w:type="paragraph" w:styleId="7">
    <w:name w:val="heading 6"/>
    <w:basedOn w:val="1"/>
    <w:next w:val="1"/>
    <w:link w:val="51"/>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2"/>
    <w:qFormat/>
    <w:uiPriority w:val="0"/>
    <w:pPr>
      <w:keepNext/>
      <w:keepLines/>
      <w:spacing w:before="240" w:after="64" w:line="317" w:lineRule="auto"/>
      <w:outlineLvl w:val="6"/>
    </w:pPr>
    <w:rPr>
      <w:b/>
      <w:sz w:val="24"/>
      <w:szCs w:val="20"/>
    </w:rPr>
  </w:style>
  <w:style w:type="paragraph" w:styleId="9">
    <w:name w:val="heading 8"/>
    <w:basedOn w:val="1"/>
    <w:next w:val="1"/>
    <w:link w:val="53"/>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4"/>
    <w:qFormat/>
    <w:uiPriority w:val="0"/>
    <w:pPr>
      <w:keepNext/>
      <w:keepLines/>
      <w:spacing w:before="240" w:after="64" w:line="317" w:lineRule="auto"/>
      <w:outlineLvl w:val="8"/>
    </w:pPr>
    <w:rPr>
      <w:rFonts w:ascii="Arial" w:hAnsi="Arial" w:eastAsia="黑体"/>
      <w:szCs w:val="20"/>
    </w:rPr>
  </w:style>
  <w:style w:type="character" w:default="1" w:styleId="39">
    <w:name w:val="Default Paragraph Font"/>
    <w:semiHidden/>
    <w:unhideWhenUsed/>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7"/>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2"/>
    <w:qFormat/>
    <w:uiPriority w:val="0"/>
    <w:rPr>
      <w:rFonts w:ascii="宋体"/>
      <w:sz w:val="18"/>
      <w:szCs w:val="18"/>
    </w:rPr>
  </w:style>
  <w:style w:type="paragraph" w:styleId="16">
    <w:name w:val="annotation text"/>
    <w:basedOn w:val="1"/>
    <w:link w:val="68"/>
    <w:qFormat/>
    <w:uiPriority w:val="99"/>
    <w:pPr>
      <w:jc w:val="left"/>
    </w:pPr>
  </w:style>
  <w:style w:type="paragraph" w:styleId="17">
    <w:name w:val="Body Text"/>
    <w:basedOn w:val="1"/>
    <w:link w:val="75"/>
    <w:unhideWhenUsed/>
    <w:qFormat/>
    <w:uiPriority w:val="99"/>
    <w:pPr>
      <w:spacing w:after="120"/>
    </w:pPr>
  </w:style>
  <w:style w:type="paragraph" w:styleId="18">
    <w:name w:val="Body Text Indent"/>
    <w:basedOn w:val="1"/>
    <w:link w:val="78"/>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79"/>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0"/>
    <w:qFormat/>
    <w:uiPriority w:val="0"/>
    <w:pPr>
      <w:ind w:left="100" w:leftChars="2500"/>
    </w:pPr>
    <w:rPr>
      <w:kern w:val="0"/>
      <w:sz w:val="28"/>
    </w:rPr>
  </w:style>
  <w:style w:type="paragraph" w:styleId="24">
    <w:name w:val="Body Text Indent 2"/>
    <w:basedOn w:val="1"/>
    <w:link w:val="81"/>
    <w:qFormat/>
    <w:uiPriority w:val="0"/>
    <w:pPr>
      <w:ind w:firstLine="420"/>
    </w:pPr>
    <w:rPr>
      <w:rFonts w:ascii="宋体"/>
      <w:kern w:val="0"/>
      <w:sz w:val="20"/>
    </w:rPr>
  </w:style>
  <w:style w:type="paragraph" w:styleId="25">
    <w:name w:val="Balloon Text"/>
    <w:basedOn w:val="1"/>
    <w:link w:val="45"/>
    <w:unhideWhenUsed/>
    <w:qFormat/>
    <w:uiPriority w:val="0"/>
    <w:rPr>
      <w:sz w:val="18"/>
      <w:szCs w:val="18"/>
    </w:rPr>
  </w:style>
  <w:style w:type="paragraph" w:styleId="26">
    <w:name w:val="footer"/>
    <w:basedOn w:val="1"/>
    <w:link w:val="58"/>
    <w:unhideWhenUsed/>
    <w:qFormat/>
    <w:uiPriority w:val="0"/>
    <w:pPr>
      <w:tabs>
        <w:tab w:val="center" w:pos="4153"/>
        <w:tab w:val="right" w:pos="8306"/>
      </w:tabs>
      <w:snapToGrid w:val="0"/>
      <w:jc w:val="left"/>
    </w:pPr>
    <w:rPr>
      <w:sz w:val="18"/>
      <w:szCs w:val="18"/>
    </w:rPr>
  </w:style>
  <w:style w:type="paragraph" w:styleId="27">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2"/>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5"/>
    <w:qFormat/>
    <w:uiPriority w:val="0"/>
    <w:pPr>
      <w:spacing w:line="360" w:lineRule="auto"/>
      <w:jc w:val="center"/>
    </w:pPr>
    <w:rPr>
      <w:rFonts w:ascii="宋体" w:hAnsi="宋体"/>
      <w:szCs w:val="20"/>
    </w:rPr>
  </w:style>
  <w:style w:type="paragraph" w:styleId="36">
    <w:name w:val="annotation subject"/>
    <w:basedOn w:val="16"/>
    <w:next w:val="16"/>
    <w:link w:val="69"/>
    <w:qFormat/>
    <w:uiPriority w:val="0"/>
    <w:rPr>
      <w:b/>
      <w:bCs/>
    </w:rPr>
  </w:style>
  <w:style w:type="paragraph" w:styleId="37">
    <w:name w:val="Body Text First Indent"/>
    <w:basedOn w:val="17"/>
    <w:link w:val="76"/>
    <w:qFormat/>
    <w:uiPriority w:val="0"/>
    <w:pPr>
      <w:ind w:firstLine="420" w:firstLineChars="100"/>
    </w:pPr>
    <w:rPr>
      <w:rFonts w:hint="eastAsia"/>
    </w:rPr>
  </w:style>
  <w:style w:type="character" w:styleId="40">
    <w:name w:val="Strong"/>
    <w:qFormat/>
    <w:uiPriority w:val="22"/>
    <w:rPr>
      <w:b/>
      <w:bCs/>
    </w:rPr>
  </w:style>
  <w:style w:type="character" w:styleId="41">
    <w:name w:val="page number"/>
    <w:qFormat/>
    <w:uiPriority w:val="0"/>
    <w:rPr>
      <w:rFonts w:hint="default" w:ascii="Times New Roman"/>
    </w:rPr>
  </w:style>
  <w:style w:type="character" w:styleId="42">
    <w:name w:val="FollowedHyperlink"/>
    <w:qFormat/>
    <w:uiPriority w:val="0"/>
    <w:rPr>
      <w:color w:val="954F72"/>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批注框文本 字符"/>
    <w:basedOn w:val="39"/>
    <w:link w:val="25"/>
    <w:qFormat/>
    <w:uiPriority w:val="99"/>
    <w:rPr>
      <w:sz w:val="18"/>
      <w:szCs w:val="18"/>
    </w:rPr>
  </w:style>
  <w:style w:type="character" w:customStyle="1" w:styleId="46">
    <w:name w:val="标题 1 字符"/>
    <w:basedOn w:val="39"/>
    <w:link w:val="2"/>
    <w:qFormat/>
    <w:uiPriority w:val="0"/>
    <w:rPr>
      <w:rFonts w:ascii="Times New Roman" w:hAnsi="Times New Roman" w:eastAsia="宋体" w:cs="Times New Roman"/>
      <w:b/>
      <w:bCs/>
      <w:sz w:val="28"/>
      <w:szCs w:val="24"/>
    </w:rPr>
  </w:style>
  <w:style w:type="character" w:customStyle="1" w:styleId="47">
    <w:name w:val="标题 2 字符"/>
    <w:basedOn w:val="39"/>
    <w:link w:val="3"/>
    <w:qFormat/>
    <w:uiPriority w:val="0"/>
    <w:rPr>
      <w:rFonts w:ascii="Times New Roman" w:hAnsi="Times New Roman" w:eastAsia="黑体" w:cs="Times New Roman"/>
      <w:szCs w:val="20"/>
    </w:rPr>
  </w:style>
  <w:style w:type="character" w:customStyle="1" w:styleId="48">
    <w:name w:val="标题 3 字符"/>
    <w:basedOn w:val="39"/>
    <w:link w:val="4"/>
    <w:qFormat/>
    <w:uiPriority w:val="9"/>
    <w:rPr>
      <w:rFonts w:ascii="Calibri" w:hAnsi="Calibri" w:eastAsia="宋体" w:cs="Times New Roman"/>
      <w:b/>
      <w:bCs/>
      <w:sz w:val="32"/>
      <w:szCs w:val="32"/>
    </w:rPr>
  </w:style>
  <w:style w:type="character" w:customStyle="1" w:styleId="49">
    <w:name w:val="标题 4 字符"/>
    <w:basedOn w:val="39"/>
    <w:link w:val="5"/>
    <w:qFormat/>
    <w:uiPriority w:val="0"/>
    <w:rPr>
      <w:rFonts w:ascii="Arial" w:hAnsi="Arial" w:eastAsia="黑体" w:cs="Times New Roman"/>
      <w:b/>
      <w:sz w:val="28"/>
      <w:szCs w:val="20"/>
    </w:rPr>
  </w:style>
  <w:style w:type="character" w:customStyle="1" w:styleId="50">
    <w:name w:val="标题 5 字符"/>
    <w:basedOn w:val="39"/>
    <w:link w:val="6"/>
    <w:qFormat/>
    <w:uiPriority w:val="0"/>
    <w:rPr>
      <w:rFonts w:ascii="Times New Roman" w:hAnsi="Times New Roman" w:eastAsia="黑体" w:cs="Times New Roman"/>
      <w:szCs w:val="20"/>
    </w:rPr>
  </w:style>
  <w:style w:type="character" w:customStyle="1" w:styleId="51">
    <w:name w:val="标题 6 字符"/>
    <w:basedOn w:val="39"/>
    <w:link w:val="7"/>
    <w:qFormat/>
    <w:uiPriority w:val="0"/>
    <w:rPr>
      <w:rFonts w:ascii="Arial" w:hAnsi="Arial" w:eastAsia="黑体" w:cs="Times New Roman"/>
      <w:b/>
      <w:sz w:val="24"/>
      <w:szCs w:val="20"/>
    </w:rPr>
  </w:style>
  <w:style w:type="character" w:customStyle="1" w:styleId="52">
    <w:name w:val="标题 7 字符"/>
    <w:basedOn w:val="39"/>
    <w:link w:val="8"/>
    <w:qFormat/>
    <w:uiPriority w:val="0"/>
    <w:rPr>
      <w:rFonts w:ascii="Times New Roman" w:hAnsi="Times New Roman" w:eastAsia="宋体" w:cs="Times New Roman"/>
      <w:b/>
      <w:sz w:val="24"/>
      <w:szCs w:val="20"/>
    </w:rPr>
  </w:style>
  <w:style w:type="character" w:customStyle="1" w:styleId="53">
    <w:name w:val="标题 8 字符"/>
    <w:basedOn w:val="39"/>
    <w:link w:val="9"/>
    <w:qFormat/>
    <w:uiPriority w:val="0"/>
    <w:rPr>
      <w:rFonts w:ascii="Arial" w:hAnsi="Arial" w:eastAsia="黑体" w:cs="Times New Roman"/>
      <w:sz w:val="24"/>
      <w:szCs w:val="20"/>
    </w:rPr>
  </w:style>
  <w:style w:type="character" w:customStyle="1" w:styleId="54">
    <w:name w:val="标题 9 字符"/>
    <w:basedOn w:val="39"/>
    <w:link w:val="10"/>
    <w:qFormat/>
    <w:uiPriority w:val="0"/>
    <w:rPr>
      <w:rFonts w:ascii="Arial" w:hAnsi="Arial" w:eastAsia="黑体" w:cs="Times New Roman"/>
      <w:szCs w:val="20"/>
    </w:rPr>
  </w:style>
  <w:style w:type="paragraph" w:customStyle="1" w:styleId="55">
    <w:name w:val="样式6"/>
    <w:basedOn w:val="1"/>
    <w:link w:val="56"/>
    <w:qFormat/>
    <w:uiPriority w:val="0"/>
    <w:pPr>
      <w:topLinePunct/>
      <w:spacing w:before="460" w:after="460" w:line="480" w:lineRule="exact"/>
      <w:jc w:val="center"/>
    </w:pPr>
    <w:rPr>
      <w:rFonts w:eastAsia="黑体"/>
      <w:sz w:val="32"/>
      <w:szCs w:val="20"/>
    </w:rPr>
  </w:style>
  <w:style w:type="character" w:customStyle="1" w:styleId="56">
    <w:name w:val="样式6 Char"/>
    <w:basedOn w:val="39"/>
    <w:link w:val="55"/>
    <w:qFormat/>
    <w:uiPriority w:val="0"/>
    <w:rPr>
      <w:rFonts w:ascii="Times New Roman" w:hAnsi="Times New Roman" w:eastAsia="黑体" w:cs="Times New Roman"/>
      <w:sz w:val="32"/>
      <w:szCs w:val="20"/>
    </w:rPr>
  </w:style>
  <w:style w:type="character" w:customStyle="1" w:styleId="57">
    <w:name w:val="页眉 字符"/>
    <w:basedOn w:val="39"/>
    <w:link w:val="27"/>
    <w:qFormat/>
    <w:uiPriority w:val="0"/>
    <w:rPr>
      <w:rFonts w:ascii="Times New Roman" w:hAnsi="Times New Roman" w:eastAsia="宋体" w:cs="Times New Roman"/>
      <w:sz w:val="18"/>
      <w:szCs w:val="18"/>
    </w:rPr>
  </w:style>
  <w:style w:type="character" w:customStyle="1" w:styleId="58">
    <w:name w:val="页脚 字符"/>
    <w:basedOn w:val="39"/>
    <w:link w:val="26"/>
    <w:qFormat/>
    <w:uiPriority w:val="0"/>
    <w:rPr>
      <w:rFonts w:ascii="Times New Roman" w:hAnsi="Times New Roman" w:eastAsia="宋体" w:cs="Times New Roman"/>
      <w:sz w:val="18"/>
      <w:szCs w:val="18"/>
    </w:rPr>
  </w:style>
  <w:style w:type="paragraph" w:customStyle="1" w:styleId="59">
    <w:name w:val="样式2"/>
    <w:basedOn w:val="1"/>
    <w:qFormat/>
    <w:uiPriority w:val="0"/>
    <w:pPr>
      <w:widowControl/>
      <w:spacing w:line="312" w:lineRule="exact"/>
    </w:pPr>
    <w:rPr>
      <w:rFonts w:ascii="EU-F1" w:eastAsia="黑体"/>
      <w:color w:val="000000"/>
      <w:kern w:val="44"/>
      <w:szCs w:val="21"/>
    </w:rPr>
  </w:style>
  <w:style w:type="paragraph" w:customStyle="1" w:styleId="60">
    <w:name w:val="样式1"/>
    <w:basedOn w:val="1"/>
    <w:link w:val="231"/>
    <w:qFormat/>
    <w:uiPriority w:val="0"/>
    <w:pPr>
      <w:spacing w:line="480" w:lineRule="auto"/>
    </w:pPr>
    <w:rPr>
      <w:rFonts w:ascii="EU-F1" w:eastAsia="黑体"/>
      <w:szCs w:val="21"/>
    </w:rPr>
  </w:style>
  <w:style w:type="paragraph" w:customStyle="1" w:styleId="61">
    <w:name w:val="表头"/>
    <w:basedOn w:val="1"/>
    <w:qFormat/>
    <w:uiPriority w:val="0"/>
    <w:pPr>
      <w:spacing w:before="160" w:after="60" w:line="312" w:lineRule="exact"/>
      <w:jc w:val="center"/>
    </w:pPr>
    <w:rPr>
      <w:rFonts w:ascii="EU-F1" w:eastAsia="黑体"/>
      <w:szCs w:val="21"/>
    </w:rPr>
  </w:style>
  <w:style w:type="paragraph" w:customStyle="1" w:styleId="62">
    <w:name w:val="图片"/>
    <w:basedOn w:val="1"/>
    <w:qFormat/>
    <w:uiPriority w:val="0"/>
    <w:pPr>
      <w:snapToGrid w:val="0"/>
      <w:spacing w:before="100" w:after="60"/>
      <w:jc w:val="center"/>
    </w:pPr>
  </w:style>
  <w:style w:type="paragraph" w:customStyle="1" w:styleId="63">
    <w:name w:val="图说"/>
    <w:basedOn w:val="1"/>
    <w:qFormat/>
    <w:uiPriority w:val="0"/>
    <w:pPr>
      <w:topLinePunct/>
      <w:spacing w:before="60" w:after="160" w:line="312" w:lineRule="exact"/>
      <w:jc w:val="center"/>
    </w:pPr>
    <w:rPr>
      <w:rFonts w:ascii="EU-F1" w:eastAsia="黑体"/>
      <w:szCs w:val="21"/>
    </w:rPr>
  </w:style>
  <w:style w:type="paragraph" w:customStyle="1" w:styleId="64">
    <w:name w:val="Char3"/>
    <w:basedOn w:val="1"/>
    <w:semiHidden/>
    <w:qFormat/>
    <w:uiPriority w:val="0"/>
    <w:rPr>
      <w:szCs w:val="20"/>
    </w:rPr>
  </w:style>
  <w:style w:type="paragraph" w:customStyle="1" w:styleId="65">
    <w:name w:val="样式4"/>
    <w:basedOn w:val="1"/>
    <w:qFormat/>
    <w:uiPriority w:val="0"/>
    <w:pPr>
      <w:spacing w:before="240" w:line="600" w:lineRule="exact"/>
      <w:jc w:val="center"/>
    </w:pPr>
    <w:rPr>
      <w:rFonts w:eastAsia="黑体"/>
      <w:sz w:val="54"/>
      <w:szCs w:val="54"/>
    </w:rPr>
  </w:style>
  <w:style w:type="paragraph" w:customStyle="1" w:styleId="66">
    <w:name w:val="样式4a"/>
    <w:basedOn w:val="1"/>
    <w:qFormat/>
    <w:uiPriority w:val="0"/>
    <w:pPr>
      <w:spacing w:line="600" w:lineRule="exact"/>
      <w:ind w:left="-113" w:right="-113"/>
      <w:jc w:val="center"/>
    </w:pPr>
    <w:rPr>
      <w:rFonts w:eastAsia="黑体"/>
      <w:sz w:val="54"/>
      <w:szCs w:val="54"/>
    </w:rPr>
  </w:style>
  <w:style w:type="paragraph" w:customStyle="1" w:styleId="67">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8">
    <w:name w:val="批注文字 字符"/>
    <w:basedOn w:val="39"/>
    <w:link w:val="16"/>
    <w:qFormat/>
    <w:uiPriority w:val="99"/>
    <w:rPr>
      <w:rFonts w:ascii="Times New Roman" w:hAnsi="Times New Roman" w:eastAsia="宋体" w:cs="Times New Roman"/>
      <w:szCs w:val="24"/>
    </w:rPr>
  </w:style>
  <w:style w:type="character" w:customStyle="1" w:styleId="69">
    <w:name w:val="批注主题 字符"/>
    <w:basedOn w:val="68"/>
    <w:link w:val="36"/>
    <w:qFormat/>
    <w:uiPriority w:val="0"/>
    <w:rPr>
      <w:rFonts w:ascii="Times New Roman" w:hAnsi="Times New Roman" w:eastAsia="宋体" w:cs="Times New Roman"/>
      <w:b/>
      <w:bCs/>
      <w:szCs w:val="24"/>
    </w:rPr>
  </w:style>
  <w:style w:type="paragraph" w:customStyle="1" w:styleId="70">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71">
    <w:name w:val="默认段落字体 Para Char Char Char Char Char"/>
    <w:basedOn w:val="1"/>
    <w:semiHidden/>
    <w:qFormat/>
    <w:uiPriority w:val="0"/>
    <w:rPr>
      <w:rFonts w:ascii="宋体" w:hAnsi="宋体"/>
      <w:b/>
      <w:color w:val="000000"/>
      <w:sz w:val="24"/>
    </w:rPr>
  </w:style>
  <w:style w:type="character" w:customStyle="1" w:styleId="72">
    <w:name w:val="文档结构图 字符"/>
    <w:basedOn w:val="39"/>
    <w:link w:val="15"/>
    <w:qFormat/>
    <w:uiPriority w:val="0"/>
    <w:rPr>
      <w:rFonts w:ascii="宋体" w:hAnsi="Times New Roman" w:eastAsia="宋体" w:cs="Times New Roman"/>
      <w:sz w:val="18"/>
      <w:szCs w:val="18"/>
    </w:rPr>
  </w:style>
  <w:style w:type="character" w:customStyle="1" w:styleId="73">
    <w:name w:val="high-light-bg"/>
    <w:basedOn w:val="39"/>
    <w:qFormat/>
    <w:uiPriority w:val="0"/>
  </w:style>
  <w:style w:type="character" w:customStyle="1" w:styleId="74">
    <w:name w:val="apple-converted-space"/>
    <w:basedOn w:val="39"/>
    <w:qFormat/>
    <w:uiPriority w:val="0"/>
  </w:style>
  <w:style w:type="character" w:customStyle="1" w:styleId="75">
    <w:name w:val="正文文本 字符"/>
    <w:basedOn w:val="39"/>
    <w:link w:val="17"/>
    <w:qFormat/>
    <w:uiPriority w:val="99"/>
    <w:rPr>
      <w:rFonts w:ascii="Times New Roman" w:hAnsi="Times New Roman" w:eastAsia="宋体" w:cs="Times New Roman"/>
      <w:szCs w:val="24"/>
    </w:rPr>
  </w:style>
  <w:style w:type="character" w:customStyle="1" w:styleId="76">
    <w:name w:val="正文文本首行缩进 字符"/>
    <w:basedOn w:val="75"/>
    <w:link w:val="37"/>
    <w:qFormat/>
    <w:uiPriority w:val="0"/>
    <w:rPr>
      <w:rFonts w:ascii="Times New Roman" w:hAnsi="Times New Roman" w:eastAsia="宋体" w:cs="Times New Roman"/>
      <w:szCs w:val="24"/>
    </w:rPr>
  </w:style>
  <w:style w:type="character" w:customStyle="1" w:styleId="77">
    <w:name w:val="题注 字符"/>
    <w:link w:val="13"/>
    <w:qFormat/>
    <w:uiPriority w:val="0"/>
    <w:rPr>
      <w:rFonts w:ascii="Cambria" w:hAnsi="Cambria" w:eastAsia="黑体" w:cs="Times New Roman"/>
      <w:sz w:val="20"/>
      <w:szCs w:val="20"/>
    </w:rPr>
  </w:style>
  <w:style w:type="character" w:customStyle="1" w:styleId="78">
    <w:name w:val="正文文本缩进 字符"/>
    <w:basedOn w:val="39"/>
    <w:link w:val="18"/>
    <w:qFormat/>
    <w:uiPriority w:val="0"/>
    <w:rPr>
      <w:rFonts w:ascii="Times New Roman" w:hAnsi="Times New Roman" w:eastAsia="宋体" w:cs="Times New Roman"/>
      <w:color w:val="000000"/>
      <w:kern w:val="0"/>
      <w:sz w:val="20"/>
      <w:szCs w:val="24"/>
    </w:rPr>
  </w:style>
  <w:style w:type="character" w:customStyle="1" w:styleId="79">
    <w:name w:val="纯文本 字符"/>
    <w:basedOn w:val="39"/>
    <w:link w:val="21"/>
    <w:qFormat/>
    <w:uiPriority w:val="0"/>
    <w:rPr>
      <w:rFonts w:ascii="宋体" w:hAnsi="Courier New" w:eastAsia="宋体" w:cs="Times New Roman"/>
      <w:szCs w:val="20"/>
    </w:rPr>
  </w:style>
  <w:style w:type="character" w:customStyle="1" w:styleId="80">
    <w:name w:val="日期 字符"/>
    <w:basedOn w:val="39"/>
    <w:link w:val="23"/>
    <w:qFormat/>
    <w:uiPriority w:val="0"/>
    <w:rPr>
      <w:rFonts w:ascii="Times New Roman" w:hAnsi="Times New Roman" w:eastAsia="宋体" w:cs="Times New Roman"/>
      <w:kern w:val="0"/>
      <w:sz w:val="28"/>
      <w:szCs w:val="24"/>
    </w:rPr>
  </w:style>
  <w:style w:type="character" w:customStyle="1" w:styleId="81">
    <w:name w:val="正文文本缩进 2 字符"/>
    <w:basedOn w:val="39"/>
    <w:link w:val="24"/>
    <w:qFormat/>
    <w:uiPriority w:val="0"/>
    <w:rPr>
      <w:rFonts w:ascii="宋体" w:hAnsi="Times New Roman" w:eastAsia="宋体" w:cs="Times New Roman"/>
      <w:kern w:val="0"/>
      <w:sz w:val="20"/>
      <w:szCs w:val="24"/>
    </w:rPr>
  </w:style>
  <w:style w:type="character" w:customStyle="1" w:styleId="82">
    <w:name w:val="正文文本缩进 3 字符"/>
    <w:basedOn w:val="39"/>
    <w:link w:val="31"/>
    <w:qFormat/>
    <w:uiPriority w:val="0"/>
    <w:rPr>
      <w:rFonts w:ascii="Times New Roman" w:hAnsi="Times New Roman" w:eastAsia="宋体" w:cs="Times New Roman"/>
      <w:color w:val="0000FF"/>
      <w:kern w:val="0"/>
      <w:sz w:val="20"/>
      <w:szCs w:val="21"/>
    </w:rPr>
  </w:style>
  <w:style w:type="character" w:customStyle="1" w:styleId="83">
    <w:name w:val="标题 Char"/>
    <w:basedOn w:val="39"/>
    <w:link w:val="84"/>
    <w:qFormat/>
    <w:uiPriority w:val="0"/>
    <w:rPr>
      <w:rFonts w:eastAsia="宋体" w:asciiTheme="majorHAnsi" w:hAnsiTheme="majorHAnsi" w:cstheme="majorBidi"/>
      <w:b/>
      <w:bCs/>
      <w:sz w:val="32"/>
      <w:szCs w:val="32"/>
    </w:rPr>
  </w:style>
  <w:style w:type="paragraph" w:customStyle="1" w:styleId="84">
    <w:name w:val="标题5"/>
    <w:basedOn w:val="1"/>
    <w:next w:val="1"/>
    <w:link w:val="83"/>
    <w:unhideWhenUsed/>
    <w:qFormat/>
    <w:uiPriority w:val="0"/>
    <w:pPr>
      <w:spacing w:line="360" w:lineRule="auto"/>
      <w:jc w:val="center"/>
    </w:pPr>
    <w:rPr>
      <w:rFonts w:asciiTheme="majorHAnsi" w:hAnsiTheme="majorHAnsi" w:cstheme="majorBidi"/>
      <w:b/>
      <w:bCs/>
      <w:sz w:val="32"/>
      <w:szCs w:val="32"/>
    </w:rPr>
  </w:style>
  <w:style w:type="character" w:customStyle="1" w:styleId="85">
    <w:name w:val="标题 字符"/>
    <w:link w:val="35"/>
    <w:qFormat/>
    <w:locked/>
    <w:uiPriority w:val="0"/>
    <w:rPr>
      <w:rFonts w:ascii="宋体" w:hAnsi="宋体" w:eastAsia="宋体" w:cs="Times New Roman"/>
      <w:szCs w:val="20"/>
    </w:rPr>
  </w:style>
  <w:style w:type="paragraph" w:customStyle="1" w:styleId="86">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7">
    <w:name w:val="默认段落字体 Para Char Char Char Char"/>
    <w:basedOn w:val="1"/>
    <w:qFormat/>
    <w:uiPriority w:val="0"/>
  </w:style>
  <w:style w:type="paragraph" w:customStyle="1" w:styleId="88">
    <w:name w:val="正文内容"/>
    <w:basedOn w:val="1"/>
    <w:qFormat/>
    <w:uiPriority w:val="0"/>
    <w:pPr>
      <w:adjustRightInd w:val="0"/>
      <w:snapToGrid w:val="0"/>
    </w:pPr>
    <w:rPr>
      <w:rFonts w:ascii="宋体" w:hAnsi="宋体"/>
      <w:sz w:val="18"/>
      <w:szCs w:val="21"/>
    </w:rPr>
  </w:style>
  <w:style w:type="paragraph" w:customStyle="1" w:styleId="89">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0">
    <w:name w:val="p17"/>
    <w:basedOn w:val="1"/>
    <w:qFormat/>
    <w:uiPriority w:val="0"/>
    <w:pPr>
      <w:widowControl/>
    </w:pPr>
    <w:rPr>
      <w:kern w:val="0"/>
      <w:szCs w:val="21"/>
    </w:rPr>
  </w:style>
  <w:style w:type="paragraph" w:customStyle="1" w:styleId="91">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2">
    <w:name w:val="小五黑体"/>
    <w:basedOn w:val="1"/>
    <w:qFormat/>
    <w:uiPriority w:val="0"/>
    <w:pPr>
      <w:spacing w:line="318" w:lineRule="exact"/>
      <w:jc w:val="center"/>
    </w:pPr>
    <w:rPr>
      <w:rFonts w:ascii="汉仪中黑简" w:eastAsia="汉仪中黑简"/>
      <w:bCs/>
      <w:sz w:val="18"/>
      <w:szCs w:val="21"/>
    </w:rPr>
  </w:style>
  <w:style w:type="paragraph" w:customStyle="1" w:styleId="93">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4">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5">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6">
    <w:name w:val="表名"/>
    <w:basedOn w:val="13"/>
    <w:link w:val="97"/>
    <w:qFormat/>
    <w:uiPriority w:val="0"/>
    <w:pPr>
      <w:keepNext/>
      <w:spacing w:line="240" w:lineRule="auto"/>
      <w:ind w:firstLine="361" w:firstLineChars="150"/>
      <w:jc w:val="left"/>
    </w:pPr>
    <w:rPr>
      <w:rFonts w:ascii="黑体" w:hAnsi="黑体"/>
      <w:b/>
      <w:sz w:val="21"/>
      <w:szCs w:val="24"/>
    </w:rPr>
  </w:style>
  <w:style w:type="character" w:customStyle="1" w:styleId="97">
    <w:name w:val="表名 Char Char"/>
    <w:link w:val="96"/>
    <w:qFormat/>
    <w:uiPriority w:val="0"/>
    <w:rPr>
      <w:rFonts w:ascii="黑体" w:hAnsi="黑体" w:eastAsia="黑体" w:cs="Times New Roman"/>
      <w:b/>
      <w:szCs w:val="24"/>
    </w:rPr>
  </w:style>
  <w:style w:type="paragraph" w:customStyle="1" w:styleId="98">
    <w:name w:val="批注框文本 Char Char"/>
    <w:basedOn w:val="1"/>
    <w:qFormat/>
    <w:uiPriority w:val="99"/>
    <w:pPr>
      <w:ind w:firstLine="200" w:firstLineChars="200"/>
    </w:pPr>
    <w:rPr>
      <w:rFonts w:ascii="Arial" w:hAnsi="Arial"/>
      <w:sz w:val="18"/>
      <w:szCs w:val="18"/>
    </w:rPr>
  </w:style>
  <w:style w:type="paragraph" w:customStyle="1" w:styleId="99">
    <w:name w:val="五号黑体"/>
    <w:basedOn w:val="1"/>
    <w:qFormat/>
    <w:uiPriority w:val="0"/>
    <w:pPr>
      <w:adjustRightInd w:val="0"/>
      <w:snapToGrid w:val="0"/>
      <w:spacing w:line="320" w:lineRule="exact"/>
    </w:pPr>
    <w:rPr>
      <w:rFonts w:eastAsia="汉仪中黑简"/>
      <w:bCs/>
      <w:szCs w:val="21"/>
    </w:rPr>
  </w:style>
  <w:style w:type="paragraph" w:customStyle="1" w:styleId="100">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1">
    <w:name w:val="批注框文本1"/>
    <w:basedOn w:val="1"/>
    <w:qFormat/>
    <w:uiPriority w:val="0"/>
    <w:rPr>
      <w:rFonts w:ascii="方正小标宋_GBK" w:hAnsi="宋体" w:eastAsia="方正小标宋_GBK"/>
      <w:b/>
      <w:sz w:val="18"/>
      <w:szCs w:val="20"/>
    </w:rPr>
  </w:style>
  <w:style w:type="paragraph" w:customStyle="1" w:styleId="10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3">
    <w:name w:val="列出段落1"/>
    <w:basedOn w:val="1"/>
    <w:qFormat/>
    <w:uiPriority w:val="0"/>
    <w:pPr>
      <w:ind w:firstLine="420" w:firstLineChars="200"/>
    </w:pPr>
  </w:style>
  <w:style w:type="paragraph" w:customStyle="1" w:styleId="104">
    <w:name w:val="小四大宋"/>
    <w:basedOn w:val="1"/>
    <w:qFormat/>
    <w:uiPriority w:val="0"/>
    <w:pPr>
      <w:spacing w:line="320" w:lineRule="exact"/>
    </w:pPr>
    <w:rPr>
      <w:rFonts w:eastAsia="汉仪大宋简"/>
      <w:bCs/>
      <w:sz w:val="24"/>
      <w:szCs w:val="21"/>
    </w:rPr>
  </w:style>
  <w:style w:type="paragraph" w:customStyle="1" w:styleId="105">
    <w:name w:val="修订11"/>
    <w:qFormat/>
    <w:uiPriority w:val="0"/>
    <w:rPr>
      <w:rFonts w:ascii="Arial" w:hAnsi="Arial" w:eastAsia="宋体" w:cs="Times New Roman"/>
      <w:kern w:val="2"/>
      <w:sz w:val="21"/>
      <w:szCs w:val="22"/>
      <w:lang w:val="en-US" w:eastAsia="zh-CN" w:bidi="ar-SA"/>
    </w:rPr>
  </w:style>
  <w:style w:type="paragraph" w:customStyle="1" w:styleId="106">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7">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8">
    <w:name w:val="列出段落111"/>
    <w:basedOn w:val="1"/>
    <w:qFormat/>
    <w:uiPriority w:val="34"/>
    <w:pPr>
      <w:spacing w:line="360" w:lineRule="auto"/>
      <w:ind w:firstLine="420" w:firstLineChars="200"/>
    </w:pPr>
    <w:rPr>
      <w:rFonts w:ascii="Arial" w:hAnsi="Arial" w:cs="Arial"/>
      <w:szCs w:val="21"/>
    </w:rPr>
  </w:style>
  <w:style w:type="paragraph" w:customStyle="1" w:styleId="109">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0">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1">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2">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3">
    <w:name w:val="列出段落11"/>
    <w:basedOn w:val="1"/>
    <w:qFormat/>
    <w:uiPriority w:val="0"/>
    <w:pPr>
      <w:spacing w:line="360" w:lineRule="auto"/>
      <w:ind w:firstLine="420" w:firstLineChars="200"/>
    </w:pPr>
    <w:rPr>
      <w:rFonts w:ascii="Arial" w:hAnsi="Arial" w:cs="Arial"/>
      <w:szCs w:val="21"/>
    </w:rPr>
  </w:style>
  <w:style w:type="paragraph" w:customStyle="1" w:styleId="114">
    <w:name w:val="p0"/>
    <w:basedOn w:val="1"/>
    <w:link w:val="115"/>
    <w:qFormat/>
    <w:uiPriority w:val="0"/>
    <w:pPr>
      <w:widowControl/>
      <w:spacing w:line="500" w:lineRule="atLeast"/>
      <w:ind w:firstLine="420"/>
    </w:pPr>
    <w:rPr>
      <w:rFonts w:ascii="宋体" w:hAnsi="宋体"/>
      <w:kern w:val="0"/>
      <w:szCs w:val="21"/>
    </w:rPr>
  </w:style>
  <w:style w:type="character" w:customStyle="1" w:styleId="115">
    <w:name w:val="p0 Char Char"/>
    <w:link w:val="114"/>
    <w:qFormat/>
    <w:uiPriority w:val="0"/>
    <w:rPr>
      <w:rFonts w:ascii="宋体" w:hAnsi="宋体" w:eastAsia="宋体" w:cs="Times New Roman"/>
      <w:kern w:val="0"/>
      <w:szCs w:val="21"/>
    </w:rPr>
  </w:style>
  <w:style w:type="paragraph" w:customStyle="1" w:styleId="116">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8">
    <w:name w:val="Char Char Char Char Char Char Char"/>
    <w:basedOn w:val="1"/>
    <w:qFormat/>
    <w:uiPriority w:val="0"/>
    <w:rPr>
      <w:szCs w:val="21"/>
    </w:rPr>
  </w:style>
  <w:style w:type="paragraph" w:customStyle="1" w:styleId="119">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0">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1">
    <w:name w:val="付标题"/>
    <w:basedOn w:val="1"/>
    <w:qFormat/>
    <w:uiPriority w:val="0"/>
    <w:pPr>
      <w:adjustRightInd w:val="0"/>
      <w:spacing w:before="360" w:line="360" w:lineRule="auto"/>
      <w:jc w:val="center"/>
    </w:pPr>
    <w:rPr>
      <w:rFonts w:eastAsia="黑体"/>
      <w:kern w:val="0"/>
      <w:sz w:val="48"/>
    </w:rPr>
  </w:style>
  <w:style w:type="paragraph" w:customStyle="1" w:styleId="122">
    <w:name w:val="正文1"/>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23">
    <w:name w:val="Char Char Char Char"/>
    <w:basedOn w:val="1"/>
    <w:qFormat/>
    <w:uiPriority w:val="0"/>
    <w:rPr>
      <w:szCs w:val="21"/>
    </w:rPr>
  </w:style>
  <w:style w:type="paragraph" w:customStyle="1" w:styleId="12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5">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6">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7">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8">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29">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0">
    <w:name w:val="p20"/>
    <w:basedOn w:val="1"/>
    <w:qFormat/>
    <w:uiPriority w:val="99"/>
    <w:pPr>
      <w:widowControl/>
      <w:spacing w:after="120"/>
    </w:pPr>
    <w:rPr>
      <w:kern w:val="0"/>
      <w:szCs w:val="21"/>
    </w:rPr>
  </w:style>
  <w:style w:type="paragraph" w:customStyle="1" w:styleId="131">
    <w:name w:val="段"/>
    <w:link w:val="132"/>
    <w:qFormat/>
    <w:uiPriority w:val="0"/>
    <w:pPr>
      <w:widowControl w:val="0"/>
      <w:autoSpaceDE w:val="0"/>
      <w:autoSpaceDN w:val="0"/>
      <w:adjustRightInd w:val="0"/>
      <w:spacing w:line="360" w:lineRule="atLeast"/>
      <w:ind w:firstLine="200" w:firstLineChars="200"/>
      <w:jc w:val="both"/>
    </w:pPr>
    <w:rPr>
      <w:rFonts w:ascii="宋体" w:hAnsi="宋体" w:eastAsia="宋体" w:cs="Times New Roman"/>
      <w:lang w:val="en-US" w:eastAsia="zh-CN" w:bidi="ar-SA"/>
    </w:rPr>
  </w:style>
  <w:style w:type="character" w:customStyle="1" w:styleId="132">
    <w:name w:val="段 Char Char"/>
    <w:link w:val="131"/>
    <w:qFormat/>
    <w:uiPriority w:val="0"/>
    <w:rPr>
      <w:rFonts w:ascii="宋体" w:hAnsi="宋体" w:eastAsia="宋体" w:cs="Times New Roman"/>
      <w:kern w:val="0"/>
      <w:sz w:val="20"/>
      <w:szCs w:val="20"/>
    </w:rPr>
  </w:style>
  <w:style w:type="paragraph" w:customStyle="1" w:styleId="133">
    <w:name w:val="列项——"/>
    <w:qFormat/>
    <w:uiPriority w:val="0"/>
    <w:pPr>
      <w:widowControl w:val="0"/>
      <w:tabs>
        <w:tab w:val="left" w:pos="854"/>
      </w:tabs>
      <w:jc w:val="both"/>
    </w:pPr>
    <w:rPr>
      <w:rFonts w:ascii="宋体" w:hAnsi="Times New Roman" w:eastAsia="宋体" w:cs="宋体"/>
      <w:sz w:val="21"/>
      <w:szCs w:val="21"/>
      <w:lang w:val="en-US" w:eastAsia="zh-CN" w:bidi="ar-SA"/>
    </w:rPr>
  </w:style>
  <w:style w:type="paragraph" w:customStyle="1" w:styleId="134">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5">
    <w:name w:val="纯文本 + (符号) 宋体"/>
    <w:basedOn w:val="114"/>
    <w:link w:val="136"/>
    <w:qFormat/>
    <w:uiPriority w:val="0"/>
    <w:pPr>
      <w:spacing w:line="360" w:lineRule="auto"/>
      <w:ind w:firstLine="480" w:firstLineChars="200"/>
    </w:pPr>
    <w:rPr>
      <w:rFonts w:ascii="Times New Roman"/>
      <w:spacing w:val="20"/>
    </w:rPr>
  </w:style>
  <w:style w:type="character" w:customStyle="1" w:styleId="136">
    <w:name w:val="纯文本 + (符号) 宋体 Char"/>
    <w:link w:val="135"/>
    <w:qFormat/>
    <w:uiPriority w:val="0"/>
    <w:rPr>
      <w:rFonts w:ascii="Times New Roman" w:hAnsi="宋体" w:eastAsia="宋体" w:cs="Times New Roman"/>
      <w:spacing w:val="20"/>
      <w:kern w:val="0"/>
      <w:szCs w:val="21"/>
    </w:rPr>
  </w:style>
  <w:style w:type="paragraph" w:customStyle="1" w:styleId="13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39">
    <w:name w:val="p15"/>
    <w:basedOn w:val="1"/>
    <w:qFormat/>
    <w:uiPriority w:val="0"/>
    <w:pPr>
      <w:widowControl/>
      <w:jc w:val="left"/>
    </w:pPr>
    <w:rPr>
      <w:kern w:val="0"/>
      <w:sz w:val="18"/>
      <w:szCs w:val="18"/>
    </w:rPr>
  </w:style>
  <w:style w:type="paragraph" w:customStyle="1" w:styleId="140">
    <w:name w:val="一级条标题"/>
    <w:next w:val="1"/>
    <w:link w:val="232"/>
    <w:qFormat/>
    <w:uiPriority w:val="0"/>
    <w:pPr>
      <w:tabs>
        <w:tab w:val="left" w:pos="0"/>
      </w:tabs>
      <w:spacing w:beforeLines="50" w:afterLines="50"/>
      <w:ind w:left="992" w:hanging="567"/>
      <w:outlineLvl w:val="2"/>
    </w:pPr>
    <w:rPr>
      <w:rFonts w:ascii="黑体" w:hAnsi="Times New Roman" w:eastAsia="黑体" w:cs="Times New Roman"/>
      <w:sz w:val="21"/>
      <w:szCs w:val="21"/>
      <w:lang w:val="en-US" w:eastAsia="zh-CN" w:bidi="ar-SA"/>
    </w:rPr>
  </w:style>
  <w:style w:type="paragraph" w:customStyle="1" w:styleId="141">
    <w:name w:val="TOC 标题1"/>
    <w:basedOn w:val="127"/>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2">
    <w:name w:val="p16"/>
    <w:basedOn w:val="1"/>
    <w:qFormat/>
    <w:uiPriority w:val="0"/>
    <w:pPr>
      <w:widowControl/>
      <w:pBdr>
        <w:bottom w:val="single" w:color="000000" w:sz="6" w:space="1"/>
      </w:pBdr>
      <w:jc w:val="center"/>
    </w:pPr>
    <w:rPr>
      <w:kern w:val="0"/>
      <w:sz w:val="18"/>
      <w:szCs w:val="18"/>
    </w:rPr>
  </w:style>
  <w:style w:type="paragraph" w:customStyle="1" w:styleId="143">
    <w:name w:val="p18"/>
    <w:basedOn w:val="1"/>
    <w:qFormat/>
    <w:uiPriority w:val="0"/>
    <w:pPr>
      <w:widowControl/>
      <w:jc w:val="left"/>
    </w:pPr>
    <w:rPr>
      <w:kern w:val="0"/>
      <w:sz w:val="18"/>
      <w:szCs w:val="18"/>
    </w:rPr>
  </w:style>
  <w:style w:type="paragraph" w:customStyle="1" w:styleId="144">
    <w:name w:val="正文文本3"/>
    <w:basedOn w:val="1"/>
    <w:link w:val="145"/>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5">
    <w:name w:val="正文文本_"/>
    <w:link w:val="144"/>
    <w:qFormat/>
    <w:uiPriority w:val="0"/>
    <w:rPr>
      <w:rFonts w:ascii="MingLiU" w:hAnsi="MingLiU" w:eastAsia="MingLiU" w:cs="Times New Roman"/>
      <w:kern w:val="0"/>
      <w:sz w:val="22"/>
      <w:shd w:val="clear" w:color="auto" w:fill="FFFFFF"/>
      <w:lang w:val="zh-TW"/>
    </w:rPr>
  </w:style>
  <w:style w:type="paragraph" w:customStyle="1" w:styleId="146">
    <w:name w:val="纯文本1"/>
    <w:basedOn w:val="1"/>
    <w:qFormat/>
    <w:uiPriority w:val="0"/>
    <w:rPr>
      <w:rFonts w:ascii="宋体" w:hAnsi="Courier New" w:eastAsia="方正小标宋_GBK"/>
      <w:b/>
      <w:szCs w:val="20"/>
    </w:rPr>
  </w:style>
  <w:style w:type="paragraph" w:customStyle="1" w:styleId="147">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8">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49">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0">
    <w:name w:val="正文2"/>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51">
    <w:name w:val="实施日期"/>
    <w:basedOn w:val="152"/>
    <w:qFormat/>
    <w:uiPriority w:val="0"/>
    <w:pPr>
      <w:jc w:val="right"/>
    </w:pPr>
  </w:style>
  <w:style w:type="paragraph" w:customStyle="1" w:styleId="152">
    <w:name w:val="发布日期"/>
    <w:qFormat/>
    <w:uiPriority w:val="0"/>
    <w:rPr>
      <w:rFonts w:ascii="Times New Roman" w:hAnsi="Times New Roman" w:eastAsia="黑体" w:cs="Times New Roman"/>
      <w:sz w:val="28"/>
      <w:lang w:val="en-US" w:eastAsia="zh-CN" w:bidi="ar-SA"/>
    </w:rPr>
  </w:style>
  <w:style w:type="paragraph" w:customStyle="1" w:styleId="153">
    <w:name w:val="Char1"/>
    <w:basedOn w:val="1"/>
    <w:qFormat/>
    <w:uiPriority w:val="0"/>
    <w:rPr>
      <w:szCs w:val="20"/>
    </w:rPr>
  </w:style>
  <w:style w:type="paragraph" w:customStyle="1" w:styleId="154">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5">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6">
    <w:name w:val="Char3 Char Char Char"/>
    <w:basedOn w:val="1"/>
    <w:qFormat/>
    <w:uiPriority w:val="0"/>
    <w:rPr>
      <w:sz w:val="28"/>
    </w:rPr>
  </w:style>
  <w:style w:type="paragraph" w:customStyle="1" w:styleId="157">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8">
    <w:name w:val="p19"/>
    <w:basedOn w:val="1"/>
    <w:qFormat/>
    <w:uiPriority w:val="0"/>
    <w:pPr>
      <w:widowControl/>
      <w:spacing w:after="120"/>
    </w:pPr>
    <w:rPr>
      <w:kern w:val="0"/>
      <w:szCs w:val="21"/>
    </w:rPr>
  </w:style>
  <w:style w:type="paragraph" w:customStyle="1" w:styleId="15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0">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1">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2">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3">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4">
    <w:name w:val="font6"/>
    <w:basedOn w:val="1"/>
    <w:qFormat/>
    <w:uiPriority w:val="0"/>
    <w:pPr>
      <w:widowControl/>
      <w:spacing w:before="100" w:beforeAutospacing="1" w:after="100" w:afterAutospacing="1"/>
      <w:jc w:val="left"/>
    </w:pPr>
    <w:rPr>
      <w:color w:val="000000"/>
      <w:kern w:val="0"/>
      <w:szCs w:val="21"/>
    </w:rPr>
  </w:style>
  <w:style w:type="paragraph" w:customStyle="1" w:styleId="165">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6">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8">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69">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1">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2">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3">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正文3"/>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75">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6">
    <w:name w:val="段落"/>
    <w:basedOn w:val="1"/>
    <w:link w:val="177"/>
    <w:qFormat/>
    <w:uiPriority w:val="0"/>
    <w:pPr>
      <w:adjustRightInd w:val="0"/>
      <w:spacing w:line="360" w:lineRule="auto"/>
      <w:ind w:firstLine="567"/>
      <w:textAlignment w:val="baseline"/>
    </w:pPr>
    <w:rPr>
      <w:rFonts w:eastAsia="仿宋_GB2312"/>
      <w:sz w:val="28"/>
      <w:szCs w:val="20"/>
    </w:rPr>
  </w:style>
  <w:style w:type="character" w:customStyle="1" w:styleId="177">
    <w:name w:val="段落 Char Char"/>
    <w:link w:val="176"/>
    <w:qFormat/>
    <w:uiPriority w:val="0"/>
    <w:rPr>
      <w:rFonts w:ascii="Times New Roman" w:hAnsi="Times New Roman" w:eastAsia="仿宋_GB2312" w:cs="Times New Roman"/>
      <w:sz w:val="28"/>
      <w:szCs w:val="20"/>
    </w:rPr>
  </w:style>
  <w:style w:type="paragraph" w:customStyle="1" w:styleId="178">
    <w:name w:val="页脚2"/>
    <w:basedOn w:val="1"/>
    <w:qFormat/>
    <w:uiPriority w:val="0"/>
    <w:pPr>
      <w:tabs>
        <w:tab w:val="center" w:pos="4153"/>
        <w:tab w:val="right" w:pos="8306"/>
      </w:tabs>
      <w:snapToGrid w:val="0"/>
      <w:jc w:val="left"/>
    </w:pPr>
    <w:rPr>
      <w:sz w:val="18"/>
      <w:szCs w:val="20"/>
    </w:rPr>
  </w:style>
  <w:style w:type="paragraph" w:customStyle="1" w:styleId="179">
    <w:name w:val="批注框文本2"/>
    <w:basedOn w:val="1"/>
    <w:qFormat/>
    <w:uiPriority w:val="0"/>
    <w:rPr>
      <w:rFonts w:ascii="方正小标宋_GBK" w:hAnsi="宋体" w:eastAsia="方正小标宋_GBK"/>
      <w:b/>
      <w:sz w:val="18"/>
      <w:szCs w:val="20"/>
    </w:rPr>
  </w:style>
  <w:style w:type="paragraph" w:customStyle="1" w:styleId="180">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1">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2">
    <w:name w:val="列出段落2"/>
    <w:basedOn w:val="1"/>
    <w:qFormat/>
    <w:uiPriority w:val="0"/>
    <w:pPr>
      <w:spacing w:line="360" w:lineRule="auto"/>
      <w:ind w:firstLine="420" w:firstLineChars="200"/>
    </w:pPr>
    <w:rPr>
      <w:rFonts w:ascii="Arial" w:hAnsi="Arial" w:cs="Arial"/>
      <w:szCs w:val="21"/>
    </w:rPr>
  </w:style>
  <w:style w:type="paragraph" w:customStyle="1" w:styleId="183">
    <w:name w:val="纯文本2"/>
    <w:basedOn w:val="1"/>
    <w:qFormat/>
    <w:uiPriority w:val="0"/>
    <w:rPr>
      <w:rFonts w:ascii="宋体" w:hAnsi="Courier New" w:eastAsia="方正小标宋_GBK"/>
      <w:b/>
      <w:szCs w:val="20"/>
    </w:rPr>
  </w:style>
  <w:style w:type="paragraph" w:customStyle="1" w:styleId="184">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5">
    <w:name w:val="正文4"/>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character" w:customStyle="1" w:styleId="186">
    <w:name w:val="纯文本 Char1"/>
    <w:qFormat/>
    <w:uiPriority w:val="0"/>
    <w:rPr>
      <w:rFonts w:hint="eastAsia" w:ascii="宋体" w:hAnsi="Courier New" w:eastAsia="宋体"/>
      <w:sz w:val="21"/>
    </w:rPr>
  </w:style>
  <w:style w:type="character" w:customStyle="1" w:styleId="187">
    <w:name w:val="访问过的超链接1"/>
    <w:qFormat/>
    <w:uiPriority w:val="0"/>
    <w:rPr>
      <w:color w:val="800080"/>
      <w:u w:val="single"/>
    </w:rPr>
  </w:style>
  <w:style w:type="character" w:customStyle="1" w:styleId="188">
    <w:name w:val="正文文本缩进 3 Char1"/>
    <w:qFormat/>
    <w:uiPriority w:val="0"/>
    <w:rPr>
      <w:rFonts w:hint="eastAsia" w:ascii="宋体" w:hAnsi="宋体" w:eastAsia="宋体" w:cs="Times New Roman"/>
      <w:sz w:val="16"/>
      <w:szCs w:val="16"/>
    </w:rPr>
  </w:style>
  <w:style w:type="character" w:customStyle="1" w:styleId="189">
    <w:name w:val="文档结构图 Char1"/>
    <w:qFormat/>
    <w:uiPriority w:val="0"/>
    <w:rPr>
      <w:rFonts w:hint="eastAsia" w:ascii="宋体" w:hAnsi="宋体" w:eastAsia="宋体" w:cs="Times New Roman"/>
      <w:sz w:val="18"/>
      <w:szCs w:val="18"/>
    </w:rPr>
  </w:style>
  <w:style w:type="character" w:customStyle="1" w:styleId="190">
    <w:name w:val="A0"/>
    <w:qFormat/>
    <w:uiPriority w:val="0"/>
    <w:rPr>
      <w:rFonts w:cs=".."/>
      <w:color w:val="000000"/>
      <w:sz w:val="22"/>
      <w:szCs w:val="22"/>
    </w:rPr>
  </w:style>
  <w:style w:type="character" w:customStyle="1" w:styleId="191">
    <w:name w:val="标题 Char1"/>
    <w:qFormat/>
    <w:uiPriority w:val="0"/>
    <w:rPr>
      <w:rFonts w:ascii="Calibri Light" w:hAnsi="Calibri Light" w:cs="Times New Roman"/>
      <w:b/>
      <w:bCs/>
      <w:kern w:val="2"/>
      <w:sz w:val="32"/>
      <w:szCs w:val="32"/>
    </w:rPr>
  </w:style>
  <w:style w:type="character" w:customStyle="1" w:styleId="192">
    <w:name w:val="Footer Char"/>
    <w:qFormat/>
    <w:uiPriority w:val="0"/>
    <w:rPr>
      <w:sz w:val="18"/>
    </w:rPr>
  </w:style>
  <w:style w:type="character" w:customStyle="1" w:styleId="193">
    <w:name w:val="正文文本缩进 2 Char1"/>
    <w:qFormat/>
    <w:uiPriority w:val="0"/>
    <w:rPr>
      <w:rFonts w:hint="eastAsia" w:ascii="宋体" w:hAnsi="宋体" w:eastAsia="宋体"/>
      <w:kern w:val="2"/>
      <w:sz w:val="21"/>
      <w:szCs w:val="22"/>
    </w:rPr>
  </w:style>
  <w:style w:type="character" w:customStyle="1" w:styleId="194">
    <w:name w:val="日期 Char1"/>
    <w:qFormat/>
    <w:uiPriority w:val="0"/>
    <w:rPr>
      <w:rFonts w:hint="eastAsia" w:ascii="宋体" w:hAnsi="宋体" w:eastAsia="宋体" w:cs="Times New Roman"/>
    </w:rPr>
  </w:style>
  <w:style w:type="character" w:customStyle="1" w:styleId="195">
    <w:name w:val="font01"/>
    <w:qFormat/>
    <w:uiPriority w:val="0"/>
    <w:rPr>
      <w:rFonts w:hint="eastAsia" w:ascii="宋体" w:hAnsi="宋体" w:eastAsia="宋体"/>
      <w:color w:val="000000"/>
      <w:sz w:val="24"/>
      <w:szCs w:val="24"/>
      <w:u w:val="none"/>
    </w:rPr>
  </w:style>
  <w:style w:type="character" w:customStyle="1" w:styleId="196">
    <w:name w:val="页眉 Char1"/>
    <w:qFormat/>
    <w:uiPriority w:val="0"/>
    <w:rPr>
      <w:rFonts w:hint="eastAsia" w:ascii="宋体" w:hAnsi="宋体" w:eastAsia="宋体" w:cs="Times New Roman"/>
      <w:sz w:val="18"/>
      <w:szCs w:val="18"/>
    </w:rPr>
  </w:style>
  <w:style w:type="character" w:customStyle="1" w:styleId="197">
    <w:name w:val="表格题注 Char Char"/>
    <w:qFormat/>
    <w:uiPriority w:val="0"/>
    <w:rPr>
      <w:rFonts w:hint="default" w:ascii="Arial" w:hAnsi="Arial" w:cs="Times New Roman"/>
      <w:b/>
      <w:bCs/>
      <w:szCs w:val="32"/>
    </w:rPr>
  </w:style>
  <w:style w:type="character" w:customStyle="1" w:styleId="198">
    <w:name w:val="Body Text Indent Char"/>
    <w:qFormat/>
    <w:uiPriority w:val="0"/>
    <w:rPr>
      <w:rFonts w:ascii="宋体"/>
      <w:sz w:val="24"/>
    </w:rPr>
  </w:style>
  <w:style w:type="character" w:customStyle="1" w:styleId="199">
    <w:name w:val="发布"/>
    <w:qFormat/>
    <w:uiPriority w:val="0"/>
    <w:rPr>
      <w:rFonts w:ascii="黑体" w:eastAsia="黑体"/>
      <w:spacing w:val="22"/>
      <w:w w:val="100"/>
      <w:position w:val="3"/>
      <w:sz w:val="28"/>
    </w:rPr>
  </w:style>
  <w:style w:type="character" w:customStyle="1" w:styleId="200">
    <w:name w:val="纯文本 Char2"/>
    <w:qFormat/>
    <w:uiPriority w:val="0"/>
    <w:rPr>
      <w:rFonts w:ascii="宋体" w:hAnsi="Courier New" w:cs="Courier New"/>
      <w:kern w:val="2"/>
      <w:sz w:val="21"/>
      <w:szCs w:val="21"/>
    </w:rPr>
  </w:style>
  <w:style w:type="character" w:customStyle="1" w:styleId="201">
    <w:name w:val="页脚 Char1"/>
    <w:qFormat/>
    <w:uiPriority w:val="0"/>
    <w:rPr>
      <w:rFonts w:hint="eastAsia" w:ascii="宋体" w:hAnsi="宋体" w:eastAsia="宋体" w:cs="Times New Roman"/>
      <w:sz w:val="18"/>
      <w:szCs w:val="18"/>
    </w:rPr>
  </w:style>
  <w:style w:type="character" w:customStyle="1" w:styleId="202">
    <w:name w:val="正文文本缩进 Char1"/>
    <w:qFormat/>
    <w:uiPriority w:val="0"/>
    <w:rPr>
      <w:rFonts w:hint="eastAsia" w:ascii="宋体" w:hAnsi="宋体" w:eastAsia="宋体"/>
      <w:kern w:val="2"/>
      <w:sz w:val="21"/>
      <w:szCs w:val="22"/>
    </w:rPr>
  </w:style>
  <w:style w:type="character" w:customStyle="1" w:styleId="203">
    <w:name w:val="批注框文本 Char1"/>
    <w:qFormat/>
    <w:uiPriority w:val="0"/>
    <w:rPr>
      <w:rFonts w:hint="eastAsia" w:ascii="宋体" w:hAnsi="宋体" w:eastAsia="宋体" w:cs="Times New Roman"/>
      <w:sz w:val="18"/>
      <w:szCs w:val="18"/>
    </w:rPr>
  </w:style>
  <w:style w:type="character" w:customStyle="1" w:styleId="204">
    <w:name w:val="表格文字 Char Char"/>
    <w:qFormat/>
    <w:uiPriority w:val="0"/>
    <w:rPr>
      <w:rFonts w:hint="eastAsia" w:ascii="汉仪书宋二简" w:hAnsi="宋体" w:eastAsia="汉仪书宋二简" w:cs="Times New Roman"/>
      <w:sz w:val="18"/>
      <w:szCs w:val="18"/>
    </w:rPr>
  </w:style>
  <w:style w:type="character" w:customStyle="1" w:styleId="205">
    <w:name w:val="占位符文本1"/>
    <w:qFormat/>
    <w:uiPriority w:val="0"/>
    <w:rPr>
      <w:color w:val="808080"/>
    </w:rPr>
  </w:style>
  <w:style w:type="character" w:customStyle="1" w:styleId="206">
    <w:name w:val="ask-title"/>
    <w:qFormat/>
    <w:uiPriority w:val="0"/>
  </w:style>
  <w:style w:type="character" w:customStyle="1" w:styleId="207">
    <w:name w:val="批注框文本 Char Char Char Char"/>
    <w:qFormat/>
    <w:locked/>
    <w:uiPriority w:val="0"/>
    <w:rPr>
      <w:rFonts w:ascii="Arial" w:hAnsi="Arial" w:cs="Arial"/>
      <w:kern w:val="2"/>
      <w:sz w:val="18"/>
      <w:szCs w:val="18"/>
    </w:rPr>
  </w:style>
  <w:style w:type="character" w:customStyle="1" w:styleId="208">
    <w:name w:val="段 Char"/>
    <w:qFormat/>
    <w:locked/>
    <w:uiPriority w:val="0"/>
    <w:rPr>
      <w:rFonts w:ascii="宋体" w:hAnsi="宋体"/>
      <w:lang w:val="en-US" w:eastAsia="zh-CN" w:bidi="ar-SA"/>
    </w:rPr>
  </w:style>
  <w:style w:type="character" w:customStyle="1" w:styleId="209">
    <w:name w:val="表名 Char"/>
    <w:qFormat/>
    <w:uiPriority w:val="0"/>
    <w:rPr>
      <w:rFonts w:ascii="黑体" w:hAnsi="黑体" w:eastAsia="黑体"/>
      <w:b/>
      <w:kern w:val="2"/>
      <w:sz w:val="21"/>
      <w:szCs w:val="24"/>
    </w:rPr>
  </w:style>
  <w:style w:type="character" w:customStyle="1" w:styleId="210">
    <w:name w:val="段落 Char"/>
    <w:qFormat/>
    <w:uiPriority w:val="0"/>
    <w:rPr>
      <w:rFonts w:eastAsia="仿宋_GB2312"/>
      <w:sz w:val="28"/>
    </w:rPr>
  </w:style>
  <w:style w:type="character" w:customStyle="1" w:styleId="211">
    <w:name w:val="标题 1 Char1"/>
    <w:qFormat/>
    <w:uiPriority w:val="0"/>
    <w:rPr>
      <w:b/>
      <w:bCs/>
      <w:kern w:val="44"/>
      <w:sz w:val="44"/>
      <w:szCs w:val="44"/>
    </w:rPr>
  </w:style>
  <w:style w:type="character" w:customStyle="1" w:styleId="212">
    <w:name w:val="批注框文本 Char2"/>
    <w:qFormat/>
    <w:locked/>
    <w:uiPriority w:val="99"/>
    <w:rPr>
      <w:rFonts w:ascii="Arial" w:hAnsi="Arial" w:cs="Arial"/>
      <w:kern w:val="2"/>
      <w:sz w:val="18"/>
      <w:szCs w:val="18"/>
    </w:rPr>
  </w:style>
  <w:style w:type="character" w:customStyle="1" w:styleId="213">
    <w:name w:val="标题 Char2"/>
    <w:qFormat/>
    <w:locked/>
    <w:uiPriority w:val="10"/>
    <w:rPr>
      <w:rFonts w:ascii="宋体" w:hAnsi="宋体" w:eastAsia="宋体" w:cs="Times New Roman"/>
      <w:bCs/>
      <w:kern w:val="0"/>
      <w:szCs w:val="32"/>
    </w:rPr>
  </w:style>
  <w:style w:type="character" w:customStyle="1" w:styleId="214">
    <w:name w:val="Char Char6"/>
    <w:qFormat/>
    <w:uiPriority w:val="0"/>
    <w:rPr>
      <w:rFonts w:ascii="Arial" w:hAnsi="Arial"/>
      <w:kern w:val="2"/>
      <w:sz w:val="18"/>
    </w:rPr>
  </w:style>
  <w:style w:type="character" w:customStyle="1" w:styleId="215">
    <w:name w:val="font21"/>
    <w:qFormat/>
    <w:uiPriority w:val="0"/>
    <w:rPr>
      <w:rFonts w:hint="default" w:ascii="Times New Roman" w:hAnsi="Times New Roman" w:cs="Times New Roman"/>
      <w:b/>
      <w:bCs/>
      <w:color w:val="000000"/>
      <w:sz w:val="18"/>
      <w:szCs w:val="18"/>
      <w:u w:val="none"/>
    </w:rPr>
  </w:style>
  <w:style w:type="character" w:customStyle="1" w:styleId="216">
    <w:name w:val="font31"/>
    <w:qFormat/>
    <w:uiPriority w:val="0"/>
    <w:rPr>
      <w:rFonts w:hint="default" w:ascii="Times New Roman" w:hAnsi="Times New Roman" w:cs="Times New Roman"/>
      <w:color w:val="000000"/>
      <w:sz w:val="18"/>
      <w:szCs w:val="18"/>
      <w:u w:val="none"/>
    </w:rPr>
  </w:style>
  <w:style w:type="character" w:customStyle="1" w:styleId="217">
    <w:name w:val="font41"/>
    <w:qFormat/>
    <w:uiPriority w:val="0"/>
    <w:rPr>
      <w:rFonts w:hint="eastAsia" w:ascii="宋体" w:hAnsi="宋体" w:eastAsia="宋体"/>
      <w:color w:val="000000"/>
      <w:sz w:val="18"/>
      <w:szCs w:val="18"/>
      <w:u w:val="none"/>
    </w:rPr>
  </w:style>
  <w:style w:type="character" w:customStyle="1" w:styleId="218">
    <w:name w:val="Char Char61"/>
    <w:unhideWhenUsed/>
    <w:qFormat/>
    <w:uiPriority w:val="0"/>
    <w:rPr>
      <w:rFonts w:hint="default" w:ascii="Arial"/>
      <w:kern w:val="2"/>
      <w:sz w:val="18"/>
    </w:rPr>
  </w:style>
  <w:style w:type="character" w:customStyle="1" w:styleId="219">
    <w:name w:val="标题 1 Char2"/>
    <w:qFormat/>
    <w:locked/>
    <w:uiPriority w:val="0"/>
    <w:rPr>
      <w:rFonts w:ascii="宋体" w:hAnsi="宋体"/>
      <w:b/>
      <w:bCs/>
      <w:kern w:val="44"/>
      <w:sz w:val="32"/>
      <w:szCs w:val="44"/>
    </w:rPr>
  </w:style>
  <w:style w:type="paragraph" w:customStyle="1" w:styleId="220">
    <w:name w:val="样式"/>
    <w:next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21">
    <w:name w:val="标题 Char21"/>
    <w:qFormat/>
    <w:uiPriority w:val="0"/>
    <w:rPr>
      <w:rFonts w:ascii="Calibri Light"/>
      <w:b/>
      <w:kern w:val="2"/>
      <w:sz w:val="32"/>
    </w:rPr>
  </w:style>
  <w:style w:type="paragraph" w:customStyle="1" w:styleId="222">
    <w:name w:val="TOC 标题2"/>
    <w:basedOn w:val="2"/>
    <w:next w:val="1"/>
    <w:unhideWhenUsed/>
    <w:qFormat/>
    <w:uiPriority w:val="39"/>
    <w:pPr>
      <w:keepLines/>
      <w:spacing w:before="340" w:after="330" w:line="578" w:lineRule="auto"/>
      <w:jc w:val="both"/>
      <w:outlineLvl w:val="9"/>
    </w:pPr>
    <w:rPr>
      <w:kern w:val="44"/>
      <w:sz w:val="44"/>
      <w:szCs w:val="44"/>
    </w:rPr>
  </w:style>
  <w:style w:type="character" w:customStyle="1" w:styleId="223">
    <w:name w:val="标题 2 Char1"/>
    <w:basedOn w:val="39"/>
    <w:semiHidden/>
    <w:qFormat/>
    <w:uiPriority w:val="0"/>
    <w:rPr>
      <w:rFonts w:hint="default" w:asciiTheme="majorHAnsi" w:hAnsiTheme="majorHAnsi" w:eastAsiaTheme="majorEastAsia" w:cstheme="majorBidi"/>
      <w:b/>
      <w:bCs/>
      <w:kern w:val="2"/>
      <w:sz w:val="32"/>
      <w:szCs w:val="32"/>
    </w:rPr>
  </w:style>
  <w:style w:type="character" w:customStyle="1" w:styleId="224">
    <w:name w:val="标题 3 Char1"/>
    <w:basedOn w:val="39"/>
    <w:semiHidden/>
    <w:qFormat/>
    <w:uiPriority w:val="9"/>
    <w:rPr>
      <w:rFonts w:hint="eastAsia" w:ascii="宋体" w:hAnsi="宋体" w:eastAsia="宋体" w:cs="Times New Roman"/>
      <w:b/>
      <w:bCs/>
      <w:kern w:val="2"/>
      <w:sz w:val="32"/>
      <w:szCs w:val="32"/>
    </w:rPr>
  </w:style>
  <w:style w:type="character" w:customStyle="1" w:styleId="225">
    <w:name w:val="标题 4 Char1"/>
    <w:basedOn w:val="39"/>
    <w:semiHidden/>
    <w:qFormat/>
    <w:uiPriority w:val="0"/>
    <w:rPr>
      <w:rFonts w:hint="default" w:asciiTheme="majorHAnsi" w:hAnsiTheme="majorHAnsi" w:eastAsiaTheme="majorEastAsia" w:cstheme="majorBidi"/>
      <w:b/>
      <w:bCs/>
      <w:kern w:val="2"/>
      <w:sz w:val="28"/>
      <w:szCs w:val="28"/>
    </w:rPr>
  </w:style>
  <w:style w:type="character" w:customStyle="1" w:styleId="226">
    <w:name w:val="标题 5 Char1"/>
    <w:basedOn w:val="39"/>
    <w:semiHidden/>
    <w:qFormat/>
    <w:uiPriority w:val="0"/>
    <w:rPr>
      <w:rFonts w:hint="eastAsia" w:ascii="宋体" w:hAnsi="宋体" w:eastAsia="宋体" w:cs="Times New Roman"/>
      <w:b/>
      <w:bCs/>
      <w:kern w:val="2"/>
      <w:sz w:val="28"/>
      <w:szCs w:val="28"/>
    </w:rPr>
  </w:style>
  <w:style w:type="character" w:customStyle="1" w:styleId="227">
    <w:name w:val="标题 6 Char1"/>
    <w:basedOn w:val="39"/>
    <w:semiHidden/>
    <w:qFormat/>
    <w:uiPriority w:val="0"/>
    <w:rPr>
      <w:rFonts w:hint="default" w:asciiTheme="majorHAnsi" w:hAnsiTheme="majorHAnsi" w:eastAsiaTheme="majorEastAsia" w:cstheme="majorBidi"/>
      <w:b/>
      <w:bCs/>
      <w:kern w:val="2"/>
      <w:sz w:val="24"/>
      <w:szCs w:val="24"/>
    </w:rPr>
  </w:style>
  <w:style w:type="character" w:customStyle="1" w:styleId="228">
    <w:name w:val="标题 7 Char1"/>
    <w:basedOn w:val="39"/>
    <w:semiHidden/>
    <w:qFormat/>
    <w:uiPriority w:val="0"/>
    <w:rPr>
      <w:rFonts w:hint="eastAsia" w:ascii="宋体" w:hAnsi="宋体" w:eastAsia="宋体" w:cs="Times New Roman"/>
      <w:b/>
      <w:bCs/>
      <w:kern w:val="2"/>
      <w:sz w:val="24"/>
      <w:szCs w:val="24"/>
    </w:rPr>
  </w:style>
  <w:style w:type="character" w:customStyle="1" w:styleId="229">
    <w:name w:val="标题 8 Char1"/>
    <w:basedOn w:val="39"/>
    <w:semiHidden/>
    <w:qFormat/>
    <w:uiPriority w:val="0"/>
    <w:rPr>
      <w:rFonts w:hint="default" w:asciiTheme="majorHAnsi" w:hAnsiTheme="majorHAnsi" w:eastAsiaTheme="majorEastAsia" w:cstheme="majorBidi"/>
      <w:kern w:val="2"/>
      <w:sz w:val="24"/>
      <w:szCs w:val="24"/>
    </w:rPr>
  </w:style>
  <w:style w:type="character" w:customStyle="1" w:styleId="230">
    <w:name w:val="标题 9 Char1"/>
    <w:basedOn w:val="39"/>
    <w:semiHidden/>
    <w:qFormat/>
    <w:uiPriority w:val="0"/>
    <w:rPr>
      <w:rFonts w:hint="default" w:asciiTheme="majorHAnsi" w:hAnsiTheme="majorHAnsi" w:eastAsiaTheme="majorEastAsia" w:cstheme="majorBidi"/>
      <w:kern w:val="2"/>
      <w:sz w:val="21"/>
      <w:szCs w:val="21"/>
    </w:rPr>
  </w:style>
  <w:style w:type="character" w:customStyle="1" w:styleId="231">
    <w:name w:val="样式1 Char Char"/>
    <w:link w:val="60"/>
    <w:qFormat/>
    <w:locked/>
    <w:uiPriority w:val="0"/>
    <w:rPr>
      <w:rFonts w:ascii="EU-F1" w:hAnsi="Times New Roman" w:eastAsia="黑体" w:cs="Times New Roman"/>
      <w:szCs w:val="21"/>
    </w:rPr>
  </w:style>
  <w:style w:type="character" w:customStyle="1" w:styleId="232">
    <w:name w:val="一级条标题 Char Char"/>
    <w:link w:val="140"/>
    <w:qFormat/>
    <w:locked/>
    <w:uiPriority w:val="0"/>
    <w:rPr>
      <w:rFonts w:ascii="黑体" w:hAnsi="Times New Roman" w:eastAsia="黑体" w:cs="Times New Roman"/>
      <w:kern w:val="0"/>
      <w:szCs w:val="21"/>
    </w:rPr>
  </w:style>
  <w:style w:type="paragraph" w:customStyle="1" w:styleId="233">
    <w:name w:val="表头A"/>
    <w:basedOn w:val="61"/>
    <w:qFormat/>
    <w:uiPriority w:val="0"/>
    <w:rPr>
      <w:kern w:val="21"/>
      <w:sz w:val="20"/>
    </w:rPr>
  </w:style>
  <w:style w:type="paragraph" w:customStyle="1" w:styleId="234">
    <w:name w:val="二级条标题"/>
    <w:basedOn w:val="140"/>
    <w:next w:val="131"/>
    <w:qFormat/>
    <w:uiPriority w:val="0"/>
    <w:pPr>
      <w:tabs>
        <w:tab w:val="clear" w:pos="0"/>
      </w:tabs>
      <w:spacing w:beforeLines="0" w:afterLines="0"/>
      <w:ind w:left="1260" w:hanging="420"/>
      <w:outlineLvl w:val="3"/>
    </w:pPr>
    <w:rPr>
      <w:rFonts w:hint="eastAsia"/>
    </w:rPr>
  </w:style>
  <w:style w:type="paragraph" w:customStyle="1" w:styleId="235">
    <w:name w:val="章标题"/>
    <w:next w:val="131"/>
    <w:qFormat/>
    <w:uiPriority w:val="0"/>
    <w:pPr>
      <w:spacing w:beforeLines="100"/>
      <w:ind w:left="420" w:hanging="420"/>
      <w:jc w:val="both"/>
      <w:outlineLvl w:val="1"/>
    </w:pPr>
    <w:rPr>
      <w:rFonts w:ascii="黑体" w:hAnsi="Times New Roman" w:eastAsia="黑体" w:cs="Times New Roman"/>
      <w:sz w:val="21"/>
      <w:lang w:val="en-US" w:eastAsia="zh-CN" w:bidi="ar-SA"/>
    </w:rPr>
  </w:style>
  <w:style w:type="paragraph" w:customStyle="1" w:styleId="236">
    <w:name w:val="三级条标题"/>
    <w:basedOn w:val="234"/>
    <w:next w:val="131"/>
    <w:qFormat/>
    <w:uiPriority w:val="0"/>
    <w:pPr>
      <w:ind w:left="1680"/>
      <w:outlineLvl w:val="4"/>
    </w:pPr>
  </w:style>
  <w:style w:type="paragraph" w:customStyle="1" w:styleId="237">
    <w:name w:val="列表段落1"/>
    <w:basedOn w:val="1"/>
    <w:qFormat/>
    <w:uiPriority w:val="34"/>
    <w:pPr>
      <w:ind w:firstLine="420" w:firstLineChars="200"/>
    </w:pPr>
  </w:style>
  <w:style w:type="paragraph" w:customStyle="1" w:styleId="238">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8716F-6777-40A6-8D10-56672194C9B2}">
  <ds:schemaRefs/>
</ds:datastoreItem>
</file>

<file path=docProps/app.xml><?xml version="1.0" encoding="utf-8"?>
<Properties xmlns="http://schemas.openxmlformats.org/officeDocument/2006/extended-properties" xmlns:vt="http://schemas.openxmlformats.org/officeDocument/2006/docPropsVTypes">
  <Template>Normal</Template>
  <Company>jngd</Company>
  <Pages>8</Pages>
  <Words>2158</Words>
  <Characters>2858</Characters>
  <Lines>43</Lines>
  <Paragraphs>12</Paragraphs>
  <TotalTime>0</TotalTime>
  <ScaleCrop>false</ScaleCrop>
  <LinksUpToDate>false</LinksUpToDate>
  <CharactersWithSpaces>3009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2015-03-04T08:57:00Z</dcterms:created>
  <dc:creator>wuzx</dc:creator>
  <cp:lastModifiedBy>Jimmy</cp:lastModifiedBy>
  <cp:lastPrinted>2016-03-16T00:55:00Z</cp:lastPrinted>
  <dcterms:modified xsi:type="dcterms:W3CDTF">2025-03-19T07:33:46Z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7C0900F6F4DE4FDE9053C27B47FDBB27_13</vt:lpwstr>
  </property>
  <property fmtid="{D5CDD505-2E9C-101B-9397-08002B2CF9AE}" pid="4" name="KSOTemplateDocerSaveRecord">
    <vt:lpwstr>eyJoZGlkIjoiMzEwNTM5NzYwMDRjMzkwZTVkZjY2ODkwMGIxNGU0OTUiLCJ1c2VySWQiOiIyMjkxODkxMDUifQ==</vt:lpwstr>
  </property>
</Properties>
</file>